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503" w:rsidRPr="00BB3D44" w:rsidRDefault="00175503" w:rsidP="00175503">
      <w:pPr>
        <w:rPr>
          <w:sz w:val="26"/>
          <w:szCs w:val="26"/>
          <w:rtl/>
        </w:rPr>
      </w:pPr>
      <w:r w:rsidRPr="00BB3D44">
        <w:rPr>
          <w:rFonts w:hint="cs"/>
          <w:sz w:val="26"/>
          <w:szCs w:val="26"/>
          <w:rtl/>
        </w:rPr>
        <w:t>בס"ד</w:t>
      </w:r>
    </w:p>
    <w:p w:rsidR="00175503" w:rsidRPr="00BB3D44" w:rsidRDefault="00175503" w:rsidP="00175503">
      <w:pPr>
        <w:pStyle w:val="1"/>
        <w:rPr>
          <w:sz w:val="34"/>
          <w:szCs w:val="33"/>
          <w:rtl/>
        </w:rPr>
      </w:pPr>
      <w:r w:rsidRPr="00BB3D44">
        <w:rPr>
          <w:rFonts w:hint="cs"/>
          <w:sz w:val="34"/>
          <w:szCs w:val="33"/>
          <w:rtl/>
        </w:rPr>
        <w:t>שיעורים בכללי התלמוד</w:t>
      </w:r>
    </w:p>
    <w:p w:rsidR="000D283E" w:rsidRDefault="000D283E" w:rsidP="00C02997">
      <w:pPr>
        <w:pStyle w:val="2"/>
        <w:rPr>
          <w:sz w:val="28"/>
          <w:szCs w:val="30"/>
        </w:rPr>
      </w:pPr>
      <w:r w:rsidRPr="00BB3D44">
        <w:rPr>
          <w:rFonts w:hint="cs"/>
          <w:sz w:val="28"/>
          <w:szCs w:val="30"/>
          <w:rtl/>
        </w:rPr>
        <w:t xml:space="preserve">שיעור </w:t>
      </w:r>
      <w:r w:rsidR="00BD565C">
        <w:rPr>
          <w:rFonts w:hint="cs"/>
          <w:sz w:val="28"/>
          <w:szCs w:val="30"/>
          <w:rtl/>
        </w:rPr>
        <w:t>2</w:t>
      </w:r>
      <w:r w:rsidR="00C02997">
        <w:rPr>
          <w:rFonts w:hint="cs"/>
          <w:sz w:val="28"/>
          <w:szCs w:val="30"/>
          <w:rtl/>
        </w:rPr>
        <w:t>1</w:t>
      </w:r>
      <w:r w:rsidRPr="00BB3D44">
        <w:rPr>
          <w:rFonts w:hint="cs"/>
          <w:sz w:val="28"/>
          <w:szCs w:val="30"/>
          <w:rtl/>
        </w:rPr>
        <w:t xml:space="preserve"> </w:t>
      </w:r>
      <w:r w:rsidRPr="00BB3D44">
        <w:rPr>
          <w:rFonts w:cs="Narkisim"/>
          <w:sz w:val="28"/>
          <w:szCs w:val="30"/>
          <w:rtl/>
        </w:rPr>
        <w:t>–</w:t>
      </w:r>
      <w:r w:rsidRPr="00BB3D44">
        <w:rPr>
          <w:rFonts w:hint="cs"/>
          <w:sz w:val="28"/>
          <w:szCs w:val="30"/>
          <w:rtl/>
        </w:rPr>
        <w:t xml:space="preserve"> </w:t>
      </w:r>
      <w:r w:rsidR="00C02997">
        <w:rPr>
          <w:rFonts w:hint="cs"/>
          <w:sz w:val="28"/>
          <w:szCs w:val="30"/>
          <w:rtl/>
        </w:rPr>
        <w:t>הכרעת ההלכה באיכא דאמרי</w:t>
      </w:r>
    </w:p>
    <w:p w:rsidR="00C707D7" w:rsidRDefault="00C707D7" w:rsidP="00C707D7">
      <w:pPr>
        <w:rPr>
          <w:rFonts w:hint="cs"/>
          <w:rtl/>
        </w:rPr>
      </w:pPr>
      <w:bookmarkStart w:id="0" w:name="_GoBack"/>
      <w:bookmarkEnd w:id="0"/>
    </w:p>
    <w:p w:rsidR="00030D6E" w:rsidRPr="00030D6E" w:rsidRDefault="00340203" w:rsidP="00C02997">
      <w:pPr>
        <w:rPr>
          <w:b/>
          <w:bCs/>
          <w:rtl/>
        </w:rPr>
      </w:pPr>
      <w:r>
        <w:rPr>
          <w:rFonts w:hint="cs"/>
          <w:b/>
          <w:bCs/>
          <w:rtl/>
        </w:rPr>
        <w:t>1.</w:t>
      </w:r>
      <w:r w:rsidR="00030D6E" w:rsidRPr="00030D6E">
        <w:rPr>
          <w:b/>
          <w:bCs/>
          <w:rtl/>
        </w:rPr>
        <w:t xml:space="preserve"> </w:t>
      </w:r>
      <w:r w:rsidR="00C02997">
        <w:rPr>
          <w:rFonts w:hint="cs"/>
          <w:b/>
          <w:bCs/>
          <w:rtl/>
        </w:rPr>
        <w:t>ע"ז ז א תוד"ה בשל תורה</w:t>
      </w:r>
    </w:p>
    <w:p w:rsidR="00030D6E" w:rsidRDefault="00C02997" w:rsidP="00C02997">
      <w:pPr>
        <w:rPr>
          <w:rtl/>
        </w:rPr>
      </w:pPr>
      <w:r>
        <w:rPr>
          <w:rtl/>
        </w:rPr>
        <w:t xml:space="preserve">בשל תורה הלך אחר המחמיר - </w:t>
      </w:r>
      <w:r w:rsidRPr="00C02997">
        <w:rPr>
          <w:b/>
          <w:bCs/>
          <w:rtl/>
        </w:rPr>
        <w:t>רש"י</w:t>
      </w:r>
      <w:r>
        <w:rPr>
          <w:rtl/>
        </w:rPr>
        <w:t xml:space="preserve"> היה פוסק בכל איכא דאמרי שבתלמוד בשל תורה הלך אחר המחמיר בשל סופרים הלך אחר האחרון </w:t>
      </w:r>
      <w:r w:rsidRPr="00C02997">
        <w:rPr>
          <w:b/>
          <w:bCs/>
          <w:rtl/>
        </w:rPr>
        <w:t>וריב"א</w:t>
      </w:r>
      <w:r>
        <w:rPr>
          <w:rtl/>
        </w:rPr>
        <w:t xml:space="preserve"> פי' דכל איכא דאמרי לגבי לשון ראשון כטפל לעיקר והלכה כלישנא קמא </w:t>
      </w:r>
      <w:r w:rsidRPr="00C02997">
        <w:rPr>
          <w:b/>
          <w:bCs/>
          <w:rtl/>
        </w:rPr>
        <w:t>ור"ת</w:t>
      </w:r>
      <w:r>
        <w:rPr>
          <w:rtl/>
        </w:rPr>
        <w:t xml:space="preserve"> פירש בדאורייתא לחומרא בדרבנן לקולא כרבי יהושע בן קרחה דהכא </w:t>
      </w:r>
      <w:r w:rsidRPr="00C02997">
        <w:rPr>
          <w:b/>
          <w:bCs/>
          <w:rtl/>
        </w:rPr>
        <w:t>ורבינו שמשון</w:t>
      </w:r>
      <w:r>
        <w:rPr>
          <w:rtl/>
        </w:rPr>
        <w:t xml:space="preserve"> היה מפרש דבכל מקום שיש להתברר כחד מינייהו משיטת התלמוד בתריה אזלינן.</w:t>
      </w:r>
    </w:p>
    <w:p w:rsidR="00A843DE" w:rsidRPr="00030D6E" w:rsidRDefault="00A843DE" w:rsidP="00030D6E">
      <w:pPr>
        <w:rPr>
          <w:rtl/>
        </w:rPr>
      </w:pPr>
    </w:p>
    <w:p w:rsidR="00030D6E" w:rsidRPr="00030D6E" w:rsidRDefault="00030D6E" w:rsidP="00C02997">
      <w:pPr>
        <w:rPr>
          <w:b/>
          <w:bCs/>
          <w:rtl/>
        </w:rPr>
      </w:pPr>
      <w:r>
        <w:rPr>
          <w:rFonts w:hint="cs"/>
          <w:b/>
          <w:bCs/>
          <w:rtl/>
        </w:rPr>
        <w:t xml:space="preserve">2. </w:t>
      </w:r>
      <w:r w:rsidR="00C02997">
        <w:rPr>
          <w:rFonts w:hint="cs"/>
          <w:b/>
          <w:bCs/>
          <w:rtl/>
        </w:rPr>
        <w:t>הליכות עולם שער ה פרק ג אות יא</w:t>
      </w:r>
    </w:p>
    <w:p w:rsidR="00030D6E" w:rsidRDefault="00C02997" w:rsidP="00C02997">
      <w:pPr>
        <w:rPr>
          <w:rtl/>
        </w:rPr>
      </w:pPr>
      <w:r>
        <w:rPr>
          <w:rtl/>
        </w:rPr>
        <w:t>נקטינן בכל איכא דאמרי שבגמרא כך הלכה, ושלא כדברי הריב"א ז"ל שהיה אומר דכל איכא דאמרי טפל לגבי לשון ראשון, כי רב אשי סדר לשון המרובים והעיקר בתחלה וכל לשון היחידים והטפל אומר איכא דאמרי, ורבינו תם ז"ל היה פוסק דכל איכא דאמרי בשל תורה הלך אחר המחמיר בשל סופרים הלך אחר המיקל, ודייק לה מהא דאמרינן בע"ז פרק קמא שניהם שוים בשל תורה הלך אחר המחמיר וכו' בתוספות, עיין שם בע"ז:</w:t>
      </w:r>
    </w:p>
    <w:p w:rsidR="00A843DE" w:rsidRDefault="00A843DE" w:rsidP="00030D6E">
      <w:pPr>
        <w:rPr>
          <w:b/>
          <w:bCs/>
          <w:rtl/>
        </w:rPr>
      </w:pPr>
    </w:p>
    <w:p w:rsidR="00A843DE" w:rsidRPr="00A843DE" w:rsidRDefault="00030D6E" w:rsidP="00C02997">
      <w:pPr>
        <w:rPr>
          <w:b/>
          <w:bCs/>
          <w:rtl/>
        </w:rPr>
      </w:pPr>
      <w:r>
        <w:rPr>
          <w:rFonts w:hint="cs"/>
          <w:b/>
          <w:bCs/>
          <w:rtl/>
        </w:rPr>
        <w:t xml:space="preserve">3. </w:t>
      </w:r>
      <w:r w:rsidR="00C02997">
        <w:rPr>
          <w:rFonts w:hint="cs"/>
          <w:b/>
          <w:bCs/>
          <w:rtl/>
        </w:rPr>
        <w:t>רא"ש ע"ז פ"א סי' ג</w:t>
      </w:r>
    </w:p>
    <w:p w:rsidR="00A843DE" w:rsidRDefault="00C02997" w:rsidP="00C02997">
      <w:pPr>
        <w:rPr>
          <w:rtl/>
        </w:rPr>
      </w:pPr>
      <w:r>
        <w:rPr>
          <w:rtl/>
        </w:rPr>
        <w:t>מכאן היה פוסק ר"ת ז"ל דכל איכא דאמרי בשל תורה הלך אחר המחמיר ובשל סופרים הלך אחר המיקל. ורש"י פסק דהלך אחר המחמיר [בשל תורה ובשל סופרים הלך אחר האחרון] וריב"א אומר דכל איכא דאמרי טפל ללשון ראשון כי רב אשי סידר לשון המרובים והעיקר תחילה וכל לשון היחידים והטפל אומר יש אומרים. ורי"ץ גיאות ז"ל כתב דלעולם הלכה כאיכא דאמרי ומקצת הגאונים פסקו בממונא כאיכא דאמרי ובאיסורא לחומרא</w:t>
      </w:r>
    </w:p>
    <w:p w:rsidR="00A843DE" w:rsidRPr="00A843DE" w:rsidRDefault="00A843DE" w:rsidP="00A843DE">
      <w:pPr>
        <w:rPr>
          <w:rtl/>
        </w:rPr>
      </w:pPr>
    </w:p>
    <w:p w:rsidR="000A3181" w:rsidRPr="000A3181" w:rsidRDefault="00A843DE" w:rsidP="0036402E">
      <w:pPr>
        <w:rPr>
          <w:b/>
          <w:bCs/>
          <w:rtl/>
        </w:rPr>
      </w:pPr>
      <w:r>
        <w:rPr>
          <w:rFonts w:hint="cs"/>
          <w:b/>
          <w:bCs/>
          <w:rtl/>
        </w:rPr>
        <w:t xml:space="preserve">4. </w:t>
      </w:r>
      <w:r w:rsidR="00030D6E">
        <w:rPr>
          <w:rFonts w:hint="cs"/>
          <w:b/>
          <w:bCs/>
          <w:rtl/>
        </w:rPr>
        <w:t xml:space="preserve">רא"ש </w:t>
      </w:r>
      <w:r w:rsidR="0036402E">
        <w:rPr>
          <w:rFonts w:hint="cs"/>
          <w:b/>
          <w:bCs/>
          <w:rtl/>
        </w:rPr>
        <w:t>ע"ז</w:t>
      </w:r>
      <w:r w:rsidR="00030D6E">
        <w:rPr>
          <w:rFonts w:hint="cs"/>
          <w:b/>
          <w:bCs/>
          <w:rtl/>
        </w:rPr>
        <w:t xml:space="preserve"> פ"ב סי' </w:t>
      </w:r>
      <w:r w:rsidR="0036402E">
        <w:rPr>
          <w:rFonts w:hint="cs"/>
          <w:b/>
          <w:bCs/>
          <w:rtl/>
        </w:rPr>
        <w:t>לה</w:t>
      </w:r>
    </w:p>
    <w:p w:rsidR="00A843DE" w:rsidRDefault="0036402E" w:rsidP="0036402E">
      <w:pPr>
        <w:rPr>
          <w:rtl/>
        </w:rPr>
      </w:pPr>
      <w:r>
        <w:rPr>
          <w:rtl/>
        </w:rPr>
        <w:t>רב אלפס פסק כלישנא בתרא. אף על גב דבשל סופרים הוא והוה לן למיזל לקולא. אפשר משום חומרא דסתם יינן פסיק לחומרא</w:t>
      </w:r>
    </w:p>
    <w:p w:rsidR="00A843DE" w:rsidRDefault="00A843DE" w:rsidP="0036402E">
      <w:pPr>
        <w:rPr>
          <w:b/>
          <w:bCs/>
          <w:rtl/>
        </w:rPr>
      </w:pPr>
      <w:r>
        <w:rPr>
          <w:rFonts w:hint="cs"/>
          <w:b/>
          <w:bCs/>
          <w:rtl/>
        </w:rPr>
        <w:t xml:space="preserve">רא"ש </w:t>
      </w:r>
      <w:r w:rsidR="0036402E">
        <w:rPr>
          <w:rFonts w:hint="cs"/>
          <w:b/>
          <w:bCs/>
          <w:rtl/>
        </w:rPr>
        <w:t>שבת פ"ד סי' ב</w:t>
      </w:r>
    </w:p>
    <w:p w:rsidR="00A843DE" w:rsidRDefault="0036402E" w:rsidP="0036402E">
      <w:pPr>
        <w:rPr>
          <w:rtl/>
        </w:rPr>
      </w:pPr>
      <w:r>
        <w:rPr>
          <w:rtl/>
        </w:rPr>
        <w:t>ור"ח פירש משום חומרא דשבת חשיבא כשל תורה ואזלינן לחומרא</w:t>
      </w:r>
    </w:p>
    <w:p w:rsidR="00A843DE" w:rsidRDefault="00A843DE" w:rsidP="0036402E">
      <w:pPr>
        <w:rPr>
          <w:b/>
          <w:bCs/>
          <w:rtl/>
        </w:rPr>
      </w:pPr>
      <w:r>
        <w:rPr>
          <w:rFonts w:hint="cs"/>
          <w:b/>
          <w:bCs/>
          <w:rtl/>
        </w:rPr>
        <w:t xml:space="preserve">רא"ש </w:t>
      </w:r>
      <w:r w:rsidR="0036402E">
        <w:rPr>
          <w:rFonts w:hint="cs"/>
          <w:b/>
          <w:bCs/>
          <w:rtl/>
        </w:rPr>
        <w:t>תענית פ"א סי' יד</w:t>
      </w:r>
    </w:p>
    <w:p w:rsidR="00A843DE" w:rsidRPr="00A843DE" w:rsidRDefault="0036402E" w:rsidP="0036402E">
      <w:pPr>
        <w:rPr>
          <w:rtl/>
        </w:rPr>
      </w:pPr>
      <w:r>
        <w:rPr>
          <w:rtl/>
        </w:rPr>
        <w:t>ועוד תימה למה פסק בשל סופרים הלכה כאיכא דאמרי לחומרא ושמא לא חשיב ליה דברי סופרים דקיום נדרו הוי דאורייתא</w:t>
      </w:r>
    </w:p>
    <w:p w:rsidR="00A843DE" w:rsidRDefault="0036402E" w:rsidP="00A843DE">
      <w:pPr>
        <w:rPr>
          <w:b/>
          <w:bCs/>
          <w:rtl/>
        </w:rPr>
      </w:pPr>
      <w:r w:rsidRPr="0036402E">
        <w:rPr>
          <w:rFonts w:hint="cs"/>
          <w:b/>
          <w:bCs/>
          <w:rtl/>
        </w:rPr>
        <w:t>רא"ש בכורות פ"ה סי' ו</w:t>
      </w:r>
    </w:p>
    <w:p w:rsidR="0036402E" w:rsidRPr="0036402E" w:rsidRDefault="0036402E" w:rsidP="0036402E">
      <w:pPr>
        <w:rPr>
          <w:rtl/>
        </w:rPr>
      </w:pPr>
      <w:r>
        <w:rPr>
          <w:rtl/>
        </w:rPr>
        <w:t>הרמב"ן ז"ל פסק כלישנא בתרא ולא ידענא טעמא מאי דבשל תורה הוא ואפשר דהיינו טעמא אף על גב דאיסור דהטלת מום הוי מדאורייתא מה שאינו נאכל באותו מום הוי מדרבנן</w:t>
      </w:r>
    </w:p>
    <w:p w:rsidR="0036402E" w:rsidRDefault="0036402E" w:rsidP="0036402E">
      <w:pPr>
        <w:rPr>
          <w:b/>
          <w:bCs/>
          <w:rtl/>
        </w:rPr>
      </w:pPr>
    </w:p>
    <w:p w:rsidR="00604D3B" w:rsidRDefault="00604D3B">
      <w:pPr>
        <w:bidi w:val="0"/>
        <w:spacing w:after="160" w:line="259" w:lineRule="auto"/>
        <w:jc w:val="left"/>
        <w:rPr>
          <w:b/>
          <w:bCs/>
        </w:rPr>
      </w:pPr>
      <w:r>
        <w:rPr>
          <w:b/>
          <w:bCs/>
          <w:rtl/>
        </w:rPr>
        <w:br w:type="page"/>
      </w:r>
    </w:p>
    <w:p w:rsidR="00441ADE" w:rsidRPr="00441ADE" w:rsidRDefault="00A843DE" w:rsidP="00441ADE">
      <w:pPr>
        <w:rPr>
          <w:b/>
          <w:bCs/>
          <w:rtl/>
        </w:rPr>
      </w:pPr>
      <w:r>
        <w:rPr>
          <w:rFonts w:hint="cs"/>
          <w:b/>
          <w:bCs/>
          <w:rtl/>
        </w:rPr>
        <w:lastRenderedPageBreak/>
        <w:t>5</w:t>
      </w:r>
      <w:r w:rsidR="000A3181" w:rsidRPr="000A3181">
        <w:rPr>
          <w:rFonts w:hint="cs"/>
          <w:b/>
          <w:bCs/>
          <w:rtl/>
        </w:rPr>
        <w:t xml:space="preserve">. </w:t>
      </w:r>
      <w:r w:rsidR="00441ADE" w:rsidRPr="00441ADE">
        <w:rPr>
          <w:b/>
          <w:bCs/>
          <w:rtl/>
        </w:rPr>
        <w:t xml:space="preserve">כסף משנה </w:t>
      </w:r>
      <w:r w:rsidR="00441ADE">
        <w:rPr>
          <w:rFonts w:hint="cs"/>
          <w:b/>
          <w:bCs/>
          <w:rtl/>
        </w:rPr>
        <w:t>פ"ו מהל'</w:t>
      </w:r>
      <w:r w:rsidR="00441ADE" w:rsidRPr="00441ADE">
        <w:rPr>
          <w:b/>
          <w:bCs/>
          <w:rtl/>
        </w:rPr>
        <w:t xml:space="preserve"> ברכות </w:t>
      </w:r>
      <w:r w:rsidR="00441ADE">
        <w:rPr>
          <w:rFonts w:hint="cs"/>
          <w:b/>
          <w:bCs/>
          <w:rtl/>
        </w:rPr>
        <w:t>הל'</w:t>
      </w:r>
      <w:r w:rsidR="00441ADE" w:rsidRPr="00441ADE">
        <w:rPr>
          <w:b/>
          <w:bCs/>
          <w:rtl/>
        </w:rPr>
        <w:t xml:space="preserve"> טז</w:t>
      </w:r>
    </w:p>
    <w:p w:rsidR="00441ADE" w:rsidRDefault="00441ADE" w:rsidP="00441ADE">
      <w:pPr>
        <w:rPr>
          <w:rtl/>
        </w:rPr>
      </w:pPr>
      <w:r w:rsidRPr="00441ADE">
        <w:rPr>
          <w:rtl/>
        </w:rPr>
        <w:t>מים ראשונים וכו'. ברייתא פרק כל הבשר (חולין דף ק"ה) ראשונים נוטלין בין בכלי בין ע"ג קרקע אחרונים אין נוטלין אלא על גבי כלי ואמרי לה אין נוטלין על גבי קרקע איכא בינייהו קינסא. ופירש"י קינסא שפאי עץ וקסמים למ"ד כלי הכא לאו כלי הוא למ"ד אין נוטלין על גבי קרקע ש"ד. ונראה שרבינו פוסק לחומרא ולא ידעתי למה כיון דמידי דרבנן הוא ואפשר דטעמא משום דלישנא קמא לישנא דגמרא ואידך בלשון אמרי לה. א"נ י"ל דמשום דמילתא דסכנתא היא נקט לחומרא דמפרש התם דטעמא דאין נוטלין על גבי קרקע הוי משום רוח רעה</w:t>
      </w:r>
    </w:p>
    <w:p w:rsidR="00441ADE" w:rsidRPr="00441ADE" w:rsidRDefault="00441ADE" w:rsidP="00441ADE">
      <w:pPr>
        <w:rPr>
          <w:rtl/>
        </w:rPr>
      </w:pPr>
    </w:p>
    <w:p w:rsidR="00441ADE" w:rsidRDefault="00441ADE" w:rsidP="00604D3B">
      <w:pPr>
        <w:rPr>
          <w:b/>
          <w:bCs/>
          <w:rtl/>
        </w:rPr>
      </w:pPr>
    </w:p>
    <w:p w:rsidR="00A9480C" w:rsidRPr="00A9480C" w:rsidRDefault="00441ADE" w:rsidP="00604D3B">
      <w:pPr>
        <w:rPr>
          <w:rFonts w:hint="cs"/>
          <w:b/>
          <w:bCs/>
          <w:rtl/>
        </w:rPr>
      </w:pPr>
      <w:r>
        <w:rPr>
          <w:rFonts w:hint="cs"/>
          <w:b/>
          <w:bCs/>
          <w:rtl/>
        </w:rPr>
        <w:t xml:space="preserve">6. </w:t>
      </w:r>
      <w:r w:rsidR="00604D3B">
        <w:rPr>
          <w:rFonts w:hint="cs"/>
          <w:b/>
          <w:bCs/>
          <w:rtl/>
        </w:rPr>
        <w:t>מגדל עז פ"ד מחובל ומזיק הלכה א-ב</w:t>
      </w:r>
    </w:p>
    <w:p w:rsidR="000A3181" w:rsidRDefault="00604D3B" w:rsidP="00A9480C">
      <w:pPr>
        <w:rPr>
          <w:rtl/>
        </w:rPr>
      </w:pPr>
      <w:r>
        <w:rPr>
          <w:rFonts w:hint="cs"/>
          <w:rtl/>
        </w:rPr>
        <w:t>וכבר כתבתי כמה פעמים בזה החיבור מה שקבלנו מרבותינו הראשונים ז"ל בכללי הפוסקים דלשון ואיבעית אימא הוא כלשון איכא דאמרי שהוא עיקר.</w:t>
      </w:r>
    </w:p>
    <w:p w:rsidR="001717DB" w:rsidRDefault="001717DB" w:rsidP="000A3181">
      <w:pPr>
        <w:rPr>
          <w:rtl/>
        </w:rPr>
      </w:pPr>
    </w:p>
    <w:p w:rsidR="00A9480C" w:rsidRDefault="00441ADE" w:rsidP="00604D3B">
      <w:pPr>
        <w:rPr>
          <w:b/>
          <w:bCs/>
          <w:rtl/>
        </w:rPr>
      </w:pPr>
      <w:r>
        <w:rPr>
          <w:rFonts w:hint="cs"/>
          <w:b/>
          <w:bCs/>
          <w:rtl/>
        </w:rPr>
        <w:t>7</w:t>
      </w:r>
      <w:r w:rsidR="001717DB" w:rsidRPr="00FE4319">
        <w:rPr>
          <w:rFonts w:hint="cs"/>
          <w:b/>
          <w:bCs/>
          <w:rtl/>
        </w:rPr>
        <w:t xml:space="preserve">. </w:t>
      </w:r>
      <w:r w:rsidR="00604D3B">
        <w:rPr>
          <w:rFonts w:hint="cs"/>
          <w:b/>
          <w:bCs/>
          <w:rtl/>
        </w:rPr>
        <w:t>שו"ת מהרש"ל סי' לה</w:t>
      </w:r>
    </w:p>
    <w:p w:rsidR="00A9480C" w:rsidRDefault="00604D3B" w:rsidP="00604D3B">
      <w:pPr>
        <w:rPr>
          <w:b/>
          <w:bCs/>
          <w:rtl/>
        </w:rPr>
      </w:pPr>
      <w:r>
        <w:rPr>
          <w:rtl/>
        </w:rPr>
        <w:t>ואף שכתב באשר"י בפ' ח"ה וז"ל ולפי מה שהגאונים פסקו בכל איכא דאמרי לישנא קמא עיקר ולפי שכך היה שגור ברוב העולם אלא שמקצת החכמים אמרו בע"א כו' ע"כ כן פסק הריב"א א"כ משמע דבכל מקום הלשון ראשון עיקר והשני טפל לו וכן דעת הריטב"א ובסוגיא זו נמי נימא הכי מ"מ נראה כאן דלכ"ע לישנא בתרא עיקר מאחר שאמר ואיבעית אימא ואינו דומה לא"ד וזהו מובן וכן הביאו הרי"ף והרא"ש לישנא בתרא לפסק הלכה בפ"ק דסנהדרין אלמא שהוא עיקר ועוד הלא אפילו בא"ד רגיל לפסוק הרי"ף כלישנא בתרא שסידר רב אשי באחרונה שהוא עיקר כמו שכתב האשר"י בשמו בפ"ק דב"ק</w:t>
      </w:r>
    </w:p>
    <w:sectPr w:rsidR="00A9480C" w:rsidSect="004E77A5">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F4B" w:rsidRDefault="00C13F4B" w:rsidP="00175503">
      <w:pPr>
        <w:spacing w:line="240" w:lineRule="auto"/>
      </w:pPr>
      <w:r>
        <w:separator/>
      </w:r>
    </w:p>
  </w:endnote>
  <w:endnote w:type="continuationSeparator" w:id="0">
    <w:p w:rsidR="00C13F4B" w:rsidRDefault="00C13F4B" w:rsidP="00175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F4B" w:rsidRDefault="00C13F4B" w:rsidP="00175503">
      <w:pPr>
        <w:spacing w:line="240" w:lineRule="auto"/>
      </w:pPr>
      <w:r>
        <w:separator/>
      </w:r>
    </w:p>
  </w:footnote>
  <w:footnote w:type="continuationSeparator" w:id="0">
    <w:p w:rsidR="00C13F4B" w:rsidRDefault="00C13F4B" w:rsidP="001755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5A0A"/>
    <w:multiLevelType w:val="hybridMultilevel"/>
    <w:tmpl w:val="D2769014"/>
    <w:lvl w:ilvl="0" w:tplc="527E3830">
      <w:start w:val="3"/>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03"/>
    <w:rsid w:val="0000016C"/>
    <w:rsid w:val="0000027D"/>
    <w:rsid w:val="00025A5C"/>
    <w:rsid w:val="00030D6E"/>
    <w:rsid w:val="000A3181"/>
    <w:rsid w:val="000D1075"/>
    <w:rsid w:val="000D283E"/>
    <w:rsid w:val="000E0D22"/>
    <w:rsid w:val="000E1A29"/>
    <w:rsid w:val="000E59C0"/>
    <w:rsid w:val="000F074E"/>
    <w:rsid w:val="00100A7F"/>
    <w:rsid w:val="00101CBF"/>
    <w:rsid w:val="001633BC"/>
    <w:rsid w:val="001717DB"/>
    <w:rsid w:val="00171B45"/>
    <w:rsid w:val="00173012"/>
    <w:rsid w:val="00175503"/>
    <w:rsid w:val="00176A25"/>
    <w:rsid w:val="00176FD3"/>
    <w:rsid w:val="001856FC"/>
    <w:rsid w:val="00195184"/>
    <w:rsid w:val="00201EAF"/>
    <w:rsid w:val="002321B9"/>
    <w:rsid w:val="002361BD"/>
    <w:rsid w:val="0027217E"/>
    <w:rsid w:val="002A41D2"/>
    <w:rsid w:val="002A5F1F"/>
    <w:rsid w:val="0030169E"/>
    <w:rsid w:val="003230AC"/>
    <w:rsid w:val="00336489"/>
    <w:rsid w:val="00340203"/>
    <w:rsid w:val="0036402E"/>
    <w:rsid w:val="003E3A94"/>
    <w:rsid w:val="00427006"/>
    <w:rsid w:val="004400CE"/>
    <w:rsid w:val="00441ADE"/>
    <w:rsid w:val="00445176"/>
    <w:rsid w:val="00496B76"/>
    <w:rsid w:val="004A6A52"/>
    <w:rsid w:val="004A7069"/>
    <w:rsid w:val="004A79F5"/>
    <w:rsid w:val="004E75CC"/>
    <w:rsid w:val="004E77A5"/>
    <w:rsid w:val="005017C8"/>
    <w:rsid w:val="0051021B"/>
    <w:rsid w:val="0051194E"/>
    <w:rsid w:val="00522C13"/>
    <w:rsid w:val="00536A23"/>
    <w:rsid w:val="00580C75"/>
    <w:rsid w:val="00591CC5"/>
    <w:rsid w:val="005A491B"/>
    <w:rsid w:val="005C46D9"/>
    <w:rsid w:val="005D186F"/>
    <w:rsid w:val="005D651E"/>
    <w:rsid w:val="005E467D"/>
    <w:rsid w:val="005F5846"/>
    <w:rsid w:val="00604D3B"/>
    <w:rsid w:val="00631AB7"/>
    <w:rsid w:val="006523F4"/>
    <w:rsid w:val="006946F5"/>
    <w:rsid w:val="006A088A"/>
    <w:rsid w:val="006A1FD1"/>
    <w:rsid w:val="006A4EEB"/>
    <w:rsid w:val="006C659E"/>
    <w:rsid w:val="0071724E"/>
    <w:rsid w:val="0072198F"/>
    <w:rsid w:val="007261F1"/>
    <w:rsid w:val="00754FF8"/>
    <w:rsid w:val="00766BE6"/>
    <w:rsid w:val="00766F3D"/>
    <w:rsid w:val="00793D5A"/>
    <w:rsid w:val="007E1B1D"/>
    <w:rsid w:val="007E6A7B"/>
    <w:rsid w:val="007E6C21"/>
    <w:rsid w:val="00832855"/>
    <w:rsid w:val="00843346"/>
    <w:rsid w:val="008A5B5C"/>
    <w:rsid w:val="008C6159"/>
    <w:rsid w:val="008C72BA"/>
    <w:rsid w:val="008D0AA2"/>
    <w:rsid w:val="009002A2"/>
    <w:rsid w:val="00916236"/>
    <w:rsid w:val="0097138C"/>
    <w:rsid w:val="0097370E"/>
    <w:rsid w:val="0097513D"/>
    <w:rsid w:val="00977378"/>
    <w:rsid w:val="00987AEF"/>
    <w:rsid w:val="00993C79"/>
    <w:rsid w:val="00A272C9"/>
    <w:rsid w:val="00A61C03"/>
    <w:rsid w:val="00A75B34"/>
    <w:rsid w:val="00A843DE"/>
    <w:rsid w:val="00A90402"/>
    <w:rsid w:val="00A94419"/>
    <w:rsid w:val="00A9480C"/>
    <w:rsid w:val="00AB510E"/>
    <w:rsid w:val="00AB5399"/>
    <w:rsid w:val="00AE1BD5"/>
    <w:rsid w:val="00AE2F96"/>
    <w:rsid w:val="00AE5451"/>
    <w:rsid w:val="00B206CD"/>
    <w:rsid w:val="00B20959"/>
    <w:rsid w:val="00B404C3"/>
    <w:rsid w:val="00B51C9B"/>
    <w:rsid w:val="00B5294A"/>
    <w:rsid w:val="00B52AA9"/>
    <w:rsid w:val="00B604E2"/>
    <w:rsid w:val="00BA3093"/>
    <w:rsid w:val="00BB32D1"/>
    <w:rsid w:val="00BB3D44"/>
    <w:rsid w:val="00BC6BE8"/>
    <w:rsid w:val="00BD565C"/>
    <w:rsid w:val="00C02997"/>
    <w:rsid w:val="00C06F8A"/>
    <w:rsid w:val="00C11EBC"/>
    <w:rsid w:val="00C13F4B"/>
    <w:rsid w:val="00C150D9"/>
    <w:rsid w:val="00C3138C"/>
    <w:rsid w:val="00C707D7"/>
    <w:rsid w:val="00C903D5"/>
    <w:rsid w:val="00CA00DA"/>
    <w:rsid w:val="00CA04E4"/>
    <w:rsid w:val="00CA0D45"/>
    <w:rsid w:val="00CD15EA"/>
    <w:rsid w:val="00CE6D73"/>
    <w:rsid w:val="00CF0633"/>
    <w:rsid w:val="00D14C23"/>
    <w:rsid w:val="00D215E8"/>
    <w:rsid w:val="00D44E9E"/>
    <w:rsid w:val="00D53455"/>
    <w:rsid w:val="00DA3B2B"/>
    <w:rsid w:val="00DB4977"/>
    <w:rsid w:val="00DD4FD3"/>
    <w:rsid w:val="00DF07A7"/>
    <w:rsid w:val="00DF6929"/>
    <w:rsid w:val="00E34F16"/>
    <w:rsid w:val="00F0053C"/>
    <w:rsid w:val="00F02DC0"/>
    <w:rsid w:val="00F11972"/>
    <w:rsid w:val="00F12A3F"/>
    <w:rsid w:val="00F1614B"/>
    <w:rsid w:val="00F42D38"/>
    <w:rsid w:val="00F44142"/>
    <w:rsid w:val="00F5374D"/>
    <w:rsid w:val="00F80F3D"/>
    <w:rsid w:val="00F92F92"/>
    <w:rsid w:val="00FA64CF"/>
    <w:rsid w:val="00FE43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A726A"/>
  <w15:chartTrackingRefBased/>
  <w15:docId w15:val="{0612D914-708D-4CFC-B06E-2EDFB102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F1F"/>
    <w:pPr>
      <w:bidi/>
      <w:spacing w:after="0" w:line="360" w:lineRule="auto"/>
      <w:jc w:val="both"/>
    </w:pPr>
    <w:rPr>
      <w:rFonts w:ascii="Times New Roman" w:eastAsia="Times New Roman" w:hAnsi="Times New Roman" w:cs="Narkisim"/>
      <w:sz w:val="24"/>
      <w:szCs w:val="24"/>
    </w:rPr>
  </w:style>
  <w:style w:type="paragraph" w:styleId="1">
    <w:name w:val="heading 1"/>
    <w:basedOn w:val="a"/>
    <w:next w:val="a"/>
    <w:link w:val="10"/>
    <w:uiPriority w:val="9"/>
    <w:qFormat/>
    <w:rsid w:val="00175503"/>
    <w:pPr>
      <w:keepNext/>
      <w:spacing w:before="100" w:beforeAutospacing="1" w:after="60"/>
      <w:jc w:val="center"/>
      <w:outlineLvl w:val="0"/>
    </w:pPr>
    <w:rPr>
      <w:rFonts w:ascii="Cambria" w:hAnsi="Cambria" w:cs="Guttman Keren"/>
      <w:b/>
      <w:bCs/>
      <w:kern w:val="32"/>
      <w:sz w:val="32"/>
      <w:szCs w:val="31"/>
    </w:rPr>
  </w:style>
  <w:style w:type="paragraph" w:styleId="2">
    <w:name w:val="heading 2"/>
    <w:basedOn w:val="a"/>
    <w:next w:val="a"/>
    <w:link w:val="20"/>
    <w:uiPriority w:val="9"/>
    <w:unhideWhenUsed/>
    <w:qFormat/>
    <w:rsid w:val="00175503"/>
    <w:pPr>
      <w:keepNext/>
      <w:keepLines/>
      <w:spacing w:before="200"/>
      <w:jc w:val="center"/>
      <w:outlineLvl w:val="1"/>
    </w:pPr>
    <w:rPr>
      <w:rFonts w:asciiTheme="majorHAnsi" w:eastAsiaTheme="majorEastAsia" w:hAnsiTheme="majorHAnsi" w:cs="David"/>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75503"/>
    <w:rPr>
      <w:rFonts w:ascii="Cambria" w:eastAsia="Times New Roman" w:hAnsi="Cambria" w:cs="Guttman Keren"/>
      <w:b/>
      <w:bCs/>
      <w:kern w:val="32"/>
      <w:sz w:val="32"/>
      <w:szCs w:val="31"/>
    </w:rPr>
  </w:style>
  <w:style w:type="character" w:customStyle="1" w:styleId="20">
    <w:name w:val="כותרת 2 תו"/>
    <w:basedOn w:val="a0"/>
    <w:link w:val="2"/>
    <w:uiPriority w:val="9"/>
    <w:rsid w:val="00175503"/>
    <w:rPr>
      <w:rFonts w:asciiTheme="majorHAnsi" w:eastAsiaTheme="majorEastAsia" w:hAnsiTheme="majorHAnsi" w:cs="David"/>
      <w:b/>
      <w:bCs/>
      <w:sz w:val="26"/>
      <w:szCs w:val="28"/>
    </w:rPr>
  </w:style>
  <w:style w:type="paragraph" w:styleId="a3">
    <w:name w:val="footnote text"/>
    <w:basedOn w:val="a"/>
    <w:link w:val="a4"/>
    <w:uiPriority w:val="99"/>
    <w:semiHidden/>
    <w:unhideWhenUsed/>
    <w:rsid w:val="00175503"/>
    <w:pPr>
      <w:spacing w:line="240" w:lineRule="auto"/>
    </w:pPr>
    <w:rPr>
      <w:sz w:val="20"/>
      <w:szCs w:val="20"/>
    </w:rPr>
  </w:style>
  <w:style w:type="character" w:customStyle="1" w:styleId="a4">
    <w:name w:val="טקסט הערת שוליים תו"/>
    <w:basedOn w:val="a0"/>
    <w:link w:val="a3"/>
    <w:uiPriority w:val="99"/>
    <w:semiHidden/>
    <w:rsid w:val="00175503"/>
    <w:rPr>
      <w:rFonts w:ascii="Times New Roman" w:eastAsia="Times New Roman" w:hAnsi="Times New Roman" w:cs="Narkisim"/>
      <w:sz w:val="20"/>
      <w:szCs w:val="20"/>
    </w:rPr>
  </w:style>
  <w:style w:type="character" w:styleId="a5">
    <w:name w:val="footnote reference"/>
    <w:basedOn w:val="a0"/>
    <w:uiPriority w:val="99"/>
    <w:semiHidden/>
    <w:unhideWhenUsed/>
    <w:rsid w:val="00175503"/>
    <w:rPr>
      <w:vertAlign w:val="superscript"/>
    </w:rPr>
  </w:style>
  <w:style w:type="paragraph" w:styleId="a6">
    <w:name w:val="Balloon Text"/>
    <w:basedOn w:val="a"/>
    <w:link w:val="a7"/>
    <w:uiPriority w:val="99"/>
    <w:semiHidden/>
    <w:unhideWhenUsed/>
    <w:rsid w:val="00BB3D44"/>
    <w:pPr>
      <w:spacing w:line="240" w:lineRule="auto"/>
    </w:pPr>
    <w:rPr>
      <w:rFonts w:ascii="Tahoma" w:hAnsi="Tahoma" w:cs="Tahoma"/>
      <w:sz w:val="18"/>
      <w:szCs w:val="18"/>
    </w:rPr>
  </w:style>
  <w:style w:type="character" w:customStyle="1" w:styleId="a7">
    <w:name w:val="טקסט בלונים תו"/>
    <w:basedOn w:val="a0"/>
    <w:link w:val="a6"/>
    <w:uiPriority w:val="99"/>
    <w:semiHidden/>
    <w:rsid w:val="00BB3D44"/>
    <w:rPr>
      <w:rFonts w:ascii="Tahoma" w:eastAsia="Times New Roman" w:hAnsi="Tahoma" w:cs="Tahoma"/>
      <w:sz w:val="18"/>
      <w:szCs w:val="18"/>
    </w:rPr>
  </w:style>
  <w:style w:type="paragraph" w:styleId="a8">
    <w:name w:val="List Paragraph"/>
    <w:basedOn w:val="a"/>
    <w:uiPriority w:val="34"/>
    <w:qFormat/>
    <w:rsid w:val="000F074E"/>
    <w:pPr>
      <w:ind w:left="720"/>
      <w:contextualSpacing/>
    </w:pPr>
  </w:style>
  <w:style w:type="character" w:styleId="a9">
    <w:name w:val="Strong"/>
    <w:basedOn w:val="a0"/>
    <w:uiPriority w:val="22"/>
    <w:qFormat/>
    <w:rsid w:val="000E1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097C1-E603-46F9-B6F6-AB983C9D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492</Words>
  <Characters>2464</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ינון קליין</dc:creator>
  <cp:keywords/>
  <dc:description/>
  <cp:lastModifiedBy>ינון קליין</cp:lastModifiedBy>
  <cp:revision>4</cp:revision>
  <cp:lastPrinted>2019-05-20T21:35:00Z</cp:lastPrinted>
  <dcterms:created xsi:type="dcterms:W3CDTF">2019-09-10T05:20:00Z</dcterms:created>
  <dcterms:modified xsi:type="dcterms:W3CDTF">2019-09-10T05:29:00Z</dcterms:modified>
</cp:coreProperties>
</file>