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03" w:rsidRDefault="00175503" w:rsidP="00175503">
      <w:pPr>
        <w:rPr>
          <w:rtl/>
        </w:rPr>
      </w:pPr>
      <w:r>
        <w:rPr>
          <w:rFonts w:hint="cs"/>
          <w:rtl/>
        </w:rPr>
        <w:t>בס"ד</w:t>
      </w:r>
    </w:p>
    <w:p w:rsidR="00175503" w:rsidRDefault="00175503" w:rsidP="00175503">
      <w:pPr>
        <w:pStyle w:val="1"/>
        <w:rPr>
          <w:rtl/>
        </w:rPr>
      </w:pPr>
      <w:r>
        <w:rPr>
          <w:rFonts w:hint="cs"/>
          <w:rtl/>
        </w:rPr>
        <w:t>שיעורים בכללי התלמוד</w:t>
      </w:r>
    </w:p>
    <w:p w:rsidR="000D283E" w:rsidRPr="000D283E" w:rsidRDefault="000D283E" w:rsidP="00A75B34">
      <w:pPr>
        <w:pStyle w:val="2"/>
        <w:rPr>
          <w:rtl/>
        </w:rPr>
      </w:pPr>
      <w:r>
        <w:rPr>
          <w:rFonts w:hint="cs"/>
          <w:rtl/>
        </w:rPr>
        <w:t xml:space="preserve">שיעור </w:t>
      </w:r>
      <w:r w:rsidR="00A75B34">
        <w:rPr>
          <w:rFonts w:hint="cs"/>
          <w:rtl/>
        </w:rPr>
        <w:t>2</w:t>
      </w:r>
      <w:r>
        <w:rPr>
          <w:rFonts w:hint="cs"/>
          <w:rtl/>
        </w:rPr>
        <w:t xml:space="preserve"> </w:t>
      </w:r>
      <w:r>
        <w:rPr>
          <w:rFonts w:cs="Narkisim"/>
          <w:rtl/>
        </w:rPr>
        <w:t>–</w:t>
      </w:r>
      <w:r>
        <w:rPr>
          <w:rFonts w:hint="cs"/>
          <w:rtl/>
        </w:rPr>
        <w:t xml:space="preserve"> </w:t>
      </w:r>
      <w:r w:rsidR="00A75B34">
        <w:rPr>
          <w:rFonts w:hint="cs"/>
          <w:rtl/>
        </w:rPr>
        <w:t>דוגמאות מסוגיות שונות לחשיבות ידיעת הכללים</w:t>
      </w:r>
    </w:p>
    <w:p w:rsidR="00175503" w:rsidRDefault="00175503" w:rsidP="00175503">
      <w:pPr>
        <w:rPr>
          <w:rtl/>
        </w:rPr>
      </w:pPr>
    </w:p>
    <w:p w:rsidR="00FA64CF" w:rsidRPr="00FA64CF" w:rsidRDefault="00A75B34" w:rsidP="00FA64CF">
      <w:pPr>
        <w:rPr>
          <w:b/>
          <w:bCs/>
          <w:sz w:val="26"/>
          <w:szCs w:val="26"/>
          <w:rtl/>
        </w:rPr>
      </w:pPr>
      <w:r w:rsidRPr="00FA64CF">
        <w:rPr>
          <w:rFonts w:hint="cs"/>
          <w:b/>
          <w:bCs/>
          <w:sz w:val="26"/>
          <w:szCs w:val="26"/>
          <w:rtl/>
        </w:rPr>
        <w:t>1</w:t>
      </w:r>
      <w:r w:rsidR="00175503" w:rsidRPr="00FA64CF">
        <w:rPr>
          <w:rFonts w:hint="cs"/>
          <w:b/>
          <w:bCs/>
          <w:sz w:val="26"/>
          <w:szCs w:val="26"/>
          <w:rtl/>
        </w:rPr>
        <w:t xml:space="preserve">. </w:t>
      </w:r>
      <w:r w:rsidR="00FA64CF" w:rsidRPr="00FA64CF">
        <w:rPr>
          <w:rFonts w:hint="cs"/>
          <w:b/>
          <w:bCs/>
          <w:sz w:val="26"/>
          <w:szCs w:val="26"/>
          <w:rtl/>
        </w:rPr>
        <w:t>ברכות ב א</w:t>
      </w:r>
    </w:p>
    <w:p w:rsidR="00FA64CF" w:rsidRDefault="00FA64CF" w:rsidP="00FA64CF">
      <w:pPr>
        <w:rPr>
          <w:rtl/>
        </w:rPr>
      </w:pPr>
      <w:r w:rsidRPr="00FA64CF">
        <w:rPr>
          <w:b/>
          <w:bCs/>
          <w:rtl/>
        </w:rPr>
        <w:t>משנה</w:t>
      </w:r>
      <w:r>
        <w:rPr>
          <w:rtl/>
        </w:rPr>
        <w:t xml:space="preserve">. מאימתי קורין את שמע בערבין? - משעה שהכהנים נכנסים לאכול בתרומתן עד סוף האשמורה הראשונה, דברי רבי אליעזר. וחכמים אומרים: עד חצות. רבן גמליאל אומר: עד שיעלה עמוד השחר. מעשה ובאו בניו מבית המשתה, אמרו לו: לא קרינו את שמע. - אמר להם: אם לא עלה עמוד השחר חייבין אתם לקרות. ולא זו בלבד אמרו, אלא כל מה שאמרו חכמים עד חצות מצותן עד שיעלה עמוד השחר; הקטר חלבים ואברים מצותן עד שיעלה עמוד השחר, וכל הנאכלים ליום אחד מצותן עד שיעלה עמוד השחר, אם כן, למה אמרו חכמים עד חצות? כדי להרחיק אדם מן העבירה. </w:t>
      </w:r>
    </w:p>
    <w:p w:rsidR="00175503" w:rsidRDefault="00FA64CF" w:rsidP="00FA64CF">
      <w:pPr>
        <w:rPr>
          <w:rtl/>
        </w:rPr>
      </w:pPr>
      <w:r w:rsidRPr="00FA64CF">
        <w:rPr>
          <w:b/>
          <w:bCs/>
          <w:rtl/>
        </w:rPr>
        <w:t>גמרא</w:t>
      </w:r>
      <w:r>
        <w:rPr>
          <w:rtl/>
        </w:rPr>
        <w:t>. תנא היכא קאי דקתני מאימתי? ותו, מאי שנא דתני בערבית ברישא? לתני דשחרית ברישא! - תנא אקרא קאי, דכתיב בשכבך ובקומך. והכי קתני: זמן קריאת שמע דשכיבה אימת - משעה שהכהנים נכנסין לאכול בתרומתן. ואי בעית אימא: יליף מברייתו של עולם, דכתיב ויהי ערב ויהי בקר יום אחד. אי הכי, סיפא דקתני בשחר מברך שתים לפניה ואחת לאחריה ובערב מברך שתים לפניה ושתים לאחריה - לתני דערבית ברישא! - תנא פתח בערבית והדר תני בשחרית, עד דקאי בשחרית - פריש מילי דשחרית, והדר פריש מילי דערבית.</w:t>
      </w:r>
    </w:p>
    <w:p w:rsidR="00FA64CF" w:rsidRDefault="00FA64CF" w:rsidP="00FA64CF">
      <w:pPr>
        <w:rPr>
          <w:rtl/>
        </w:rPr>
      </w:pPr>
    </w:p>
    <w:p w:rsidR="00FA64CF" w:rsidRPr="00FA64CF" w:rsidRDefault="00FA64CF" w:rsidP="00FA64CF">
      <w:pPr>
        <w:rPr>
          <w:b/>
          <w:bCs/>
          <w:sz w:val="26"/>
          <w:szCs w:val="26"/>
          <w:rtl/>
        </w:rPr>
      </w:pPr>
      <w:r w:rsidRPr="00FA64CF">
        <w:rPr>
          <w:rFonts w:hint="cs"/>
          <w:b/>
          <w:bCs/>
          <w:sz w:val="26"/>
          <w:szCs w:val="26"/>
          <w:rtl/>
        </w:rPr>
        <w:t xml:space="preserve">2. קידושין </w:t>
      </w:r>
      <w:r w:rsidRPr="00FA64CF">
        <w:rPr>
          <w:b/>
          <w:bCs/>
          <w:sz w:val="26"/>
          <w:szCs w:val="26"/>
          <w:rtl/>
        </w:rPr>
        <w:t xml:space="preserve">כט </w:t>
      </w:r>
      <w:r w:rsidRPr="00FA64CF">
        <w:rPr>
          <w:b/>
          <w:bCs/>
          <w:sz w:val="26"/>
          <w:szCs w:val="26"/>
          <w:rtl/>
        </w:rPr>
        <w:t>א</w:t>
      </w:r>
    </w:p>
    <w:p w:rsidR="00FA64CF" w:rsidRDefault="00FA64CF" w:rsidP="00FA64CF">
      <w:pPr>
        <w:rPr>
          <w:rtl/>
        </w:rPr>
      </w:pPr>
      <w:r w:rsidRPr="00FA64CF">
        <w:rPr>
          <w:b/>
          <w:bCs/>
          <w:rtl/>
        </w:rPr>
        <w:t>מתני'.</w:t>
      </w:r>
      <w:r>
        <w:rPr>
          <w:rtl/>
        </w:rPr>
        <w:t xml:space="preserve"> כל מצות הבן על האב - אנשים חייבין, ונשים פטורות, וכל מצות האב על הבן - אחד אנשים ואחד נשים חייבין. וכל מצות עשה שהזמן גרמא - אנשים חייבין, ונשים פטורות, וכל מצות עשה שלא הזמן גרמא - אחד האנשים ואחד הנשים חייבין. וכל מצות לא תעשה, בין שהזמן גרמא בין שלא הזמן גרמא - אחד האנשים ואחד הנשים חייבין, חוץ מבל תקיף ובל תשחית ובל תטמא למתים. </w:t>
      </w:r>
    </w:p>
    <w:p w:rsidR="00FA64CF" w:rsidRDefault="00FA64CF" w:rsidP="00FA64CF">
      <w:pPr>
        <w:rPr>
          <w:rtl/>
        </w:rPr>
      </w:pPr>
      <w:r w:rsidRPr="00FA64CF">
        <w:rPr>
          <w:b/>
          <w:bCs/>
          <w:rtl/>
        </w:rPr>
        <w:t>גמ'.</w:t>
      </w:r>
      <w:r>
        <w:rPr>
          <w:rtl/>
        </w:rPr>
        <w:t xml:space="preserve"> מאי כל מצות הבן על האב? אילימא כל מצות דמיחייב ברא למיעבד לאבא, נשים פטורות? והתניא: איש - אין לי אלא איש, אשה מנין? כשהוא אומר: איש אמו ואביו תיראו - הרי כאן שנים! אמר רב יהודה, ה"ק: כל מצות הבן המוטלות על האב לעשות לבנו - אנשים חייבין, ונשים פטורות. תנינא להא דת"ר: האב חייב בבנו למולו, ולפדותו, וללמדו תורה, ולהשיאו אשה, וללמדו אומנות; וי"א: אף להשיטו במים; רבי יהודה אומר: כל שאינו מלמד את בנו אומנות - מלמדו ליסטות. ליסטות ס"ד? אלא, כאילו מלמדו ליסטות.</w:t>
      </w:r>
    </w:p>
    <w:p w:rsidR="00FA64CF" w:rsidRDefault="00FA64CF" w:rsidP="00FA64CF">
      <w:pPr>
        <w:rPr>
          <w:rtl/>
        </w:rPr>
      </w:pPr>
    </w:p>
    <w:p w:rsidR="00FA64CF" w:rsidRPr="00FA64CF" w:rsidRDefault="00FA64CF" w:rsidP="00FA64CF">
      <w:pPr>
        <w:rPr>
          <w:b/>
          <w:bCs/>
          <w:sz w:val="26"/>
          <w:szCs w:val="26"/>
          <w:rtl/>
        </w:rPr>
      </w:pPr>
      <w:r w:rsidRPr="00FA64CF">
        <w:rPr>
          <w:rFonts w:hint="cs"/>
          <w:b/>
          <w:bCs/>
          <w:sz w:val="26"/>
          <w:szCs w:val="26"/>
          <w:rtl/>
        </w:rPr>
        <w:t>3. עירובין יט ב</w:t>
      </w:r>
    </w:p>
    <w:p w:rsidR="00F02DC0" w:rsidRDefault="00FA64CF" w:rsidP="00FA64CF">
      <w:pPr>
        <w:rPr>
          <w:rtl/>
        </w:rPr>
      </w:pPr>
      <w:r>
        <w:rPr>
          <w:rtl/>
        </w:rPr>
        <w:t xml:space="preserve">אחת נכנסת ואחת יוצאת. תנא: רבקה נכנסת ורבקה יוצאת. תנו רבנן: כמה ראשה ורובה של פרה - שתי אמות. וכמה עוביה של פרה - אמה ושני שלישי אמה, שהן כעשר, דברי רבי מאיר. רבי יהודה אומר: כשלש עשרה אמה וכארבע עשרה אמה. כעשר? הא עשר הויין! - משום דבעי למיתנא סיפא כשלש עשרה, כשלש עשרה טפי הויין, משום דבעי למתני כארבע עשרה - וכארבע עשרה הא לא </w:t>
      </w:r>
      <w:r>
        <w:rPr>
          <w:rtl/>
        </w:rPr>
        <w:lastRenderedPageBreak/>
        <w:t>הויא! - אמר רב פפא: יתירות על שלש עשרה, ואינן מגיעות לארבע עשרה. אמר רב פפא: בבור שמונה דכולי עלמא לא פליגי דלא בעינן פשוטין, בבור שתים עשרה - דכולי עלמא לא פליגי דבעינן פשוטין. כי פליגי - משמונה עד שתים עשרה. לרבי מאיר בעינן פשוטין, לרבי יהודה לא בעינן פשוטין. ורב פפא מאי קא משמע לן? תנינא! - רב פפא ברייתא לא שמיע ליה, וקא משמע לן כברייתא.</w:t>
      </w:r>
    </w:p>
    <w:p w:rsidR="00FA64CF" w:rsidRDefault="00FA64CF" w:rsidP="00FA64CF">
      <w:pPr>
        <w:rPr>
          <w:rtl/>
        </w:rPr>
      </w:pPr>
      <w:r w:rsidRPr="00FA64CF">
        <w:rPr>
          <w:rFonts w:hint="cs"/>
          <w:b/>
          <w:bCs/>
          <w:rtl/>
        </w:rPr>
        <w:t>רש"י:</w:t>
      </w:r>
      <w:r>
        <w:rPr>
          <w:rFonts w:hint="cs"/>
          <w:rtl/>
        </w:rPr>
        <w:t xml:space="preserve"> </w:t>
      </w:r>
      <w:r>
        <w:rPr>
          <w:rtl/>
        </w:rPr>
        <w:t>תנינא - לדרב פפא במתניתין, דקתני לר' מאיר ששה בקר, ולר' יהודה שמונה בקר, וממילא שמעינן דר' מאיר שרי בהבדלת עשר, ור' יהודה שרי בהבדלת שלש עשרה אמה ושליש, וכי קבעי ר' מאיר פשוטין - ביותר מעשר קאמר.</w:t>
      </w:r>
    </w:p>
    <w:p w:rsidR="00FA64CF" w:rsidRDefault="00FA64CF" w:rsidP="00FA64CF">
      <w:pPr>
        <w:rPr>
          <w:rtl/>
        </w:rPr>
      </w:pPr>
      <w:r>
        <w:rPr>
          <w:rtl/>
        </w:rPr>
        <w:t>רב פפא הך ברייתא - דתנא שיעורא דעובי הפרות לא שמיע ליה, ובמתניתין לא פריש להו, ואתא רב פפא לפרושי לך מתניתין דשיעורא דר' מאיר עשר אמות, ודר' יהודה שלש עשרה אמה ושליש, והסכים רב פפא מדעתו למה ששנינו בברייתא דראשה ורובה שתי אמות ועוביה אמה ושני שלישי אמה.</w:t>
      </w:r>
    </w:p>
    <w:p w:rsidR="00FA64CF" w:rsidRDefault="00FA64CF" w:rsidP="00FA64CF">
      <w:pPr>
        <w:rPr>
          <w:rtl/>
        </w:rPr>
      </w:pPr>
    </w:p>
    <w:p w:rsidR="00FA64CF" w:rsidRPr="00FA64CF" w:rsidRDefault="00FA64CF" w:rsidP="00FA64CF">
      <w:pPr>
        <w:rPr>
          <w:b/>
          <w:bCs/>
          <w:sz w:val="26"/>
          <w:szCs w:val="26"/>
          <w:rtl/>
        </w:rPr>
      </w:pPr>
      <w:r w:rsidRPr="00FA64CF">
        <w:rPr>
          <w:rFonts w:hint="cs"/>
          <w:b/>
          <w:bCs/>
          <w:sz w:val="26"/>
          <w:szCs w:val="26"/>
          <w:rtl/>
        </w:rPr>
        <w:t xml:space="preserve">4. </w:t>
      </w:r>
      <w:r w:rsidRPr="00FA64CF">
        <w:rPr>
          <w:b/>
          <w:bCs/>
          <w:sz w:val="26"/>
          <w:szCs w:val="26"/>
          <w:rtl/>
        </w:rPr>
        <w:t>הוריות יד א</w:t>
      </w:r>
    </w:p>
    <w:p w:rsidR="00FA64CF" w:rsidRDefault="00FA64CF" w:rsidP="00FA64CF">
      <w:pPr>
        <w:rPr>
          <w:rtl/>
        </w:rPr>
      </w:pPr>
      <w:r>
        <w:rPr>
          <w:rtl/>
        </w:rPr>
        <w:t>אמר רבי יוחנן: פליגו בה רבן שמעון בן גמליאל ורבנן, חד אמר: סיני עדיף, וחד אמר: עוקר הרים עדיף. רב יוסף סיני, רבה עוקר הרים, שלחו לתמן: איזה מהם קודם? שלחו להו: סיני עדיף, דאמר מר: הכל צריכין למרי חטיא</w:t>
      </w:r>
    </w:p>
    <w:p w:rsidR="00FA64CF" w:rsidRDefault="00FA64CF" w:rsidP="00FA64CF">
      <w:pPr>
        <w:rPr>
          <w:rtl/>
        </w:rPr>
      </w:pPr>
    </w:p>
    <w:p w:rsidR="00FA64CF" w:rsidRPr="00FA64CF" w:rsidRDefault="00FA64CF" w:rsidP="00FA64CF">
      <w:bookmarkStart w:id="0" w:name="_GoBack"/>
      <w:bookmarkEnd w:id="0"/>
    </w:p>
    <w:sectPr w:rsidR="00FA64CF" w:rsidRPr="00FA64CF" w:rsidSect="000D283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33" w:rsidRDefault="00CF0633" w:rsidP="00175503">
      <w:pPr>
        <w:spacing w:line="240" w:lineRule="auto"/>
      </w:pPr>
      <w:r>
        <w:separator/>
      </w:r>
    </w:p>
  </w:endnote>
  <w:endnote w:type="continuationSeparator" w:id="0">
    <w:p w:rsidR="00CF0633" w:rsidRDefault="00CF0633" w:rsidP="0017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33" w:rsidRDefault="00CF0633" w:rsidP="00175503">
      <w:pPr>
        <w:spacing w:line="240" w:lineRule="auto"/>
      </w:pPr>
      <w:r>
        <w:separator/>
      </w:r>
    </w:p>
  </w:footnote>
  <w:footnote w:type="continuationSeparator" w:id="0">
    <w:p w:rsidR="00CF0633" w:rsidRDefault="00CF0633" w:rsidP="0017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03"/>
    <w:rsid w:val="000D283E"/>
    <w:rsid w:val="00175503"/>
    <w:rsid w:val="003230AC"/>
    <w:rsid w:val="006A088A"/>
    <w:rsid w:val="006A1FD1"/>
    <w:rsid w:val="00766BE6"/>
    <w:rsid w:val="00A75B34"/>
    <w:rsid w:val="00CA00DA"/>
    <w:rsid w:val="00CF0633"/>
    <w:rsid w:val="00DB4977"/>
    <w:rsid w:val="00F02DC0"/>
    <w:rsid w:val="00FA6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222D"/>
  <w15:chartTrackingRefBased/>
  <w15:docId w15:val="{0612D914-708D-4CFC-B06E-2EDFB102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503"/>
    <w:pPr>
      <w:bidi/>
      <w:spacing w:after="0" w:line="360" w:lineRule="auto"/>
      <w:jc w:val="both"/>
    </w:pPr>
    <w:rPr>
      <w:rFonts w:ascii="Times New Roman" w:eastAsia="Times New Roman" w:hAnsi="Times New Roman" w:cs="Narkisim"/>
      <w:sz w:val="24"/>
      <w:szCs w:val="24"/>
    </w:rPr>
  </w:style>
  <w:style w:type="paragraph" w:styleId="1">
    <w:name w:val="heading 1"/>
    <w:basedOn w:val="a"/>
    <w:next w:val="a"/>
    <w:link w:val="10"/>
    <w:uiPriority w:val="9"/>
    <w:qFormat/>
    <w:rsid w:val="00175503"/>
    <w:pPr>
      <w:keepNext/>
      <w:spacing w:before="100" w:beforeAutospacing="1" w:after="60"/>
      <w:jc w:val="center"/>
      <w:outlineLvl w:val="0"/>
    </w:pPr>
    <w:rPr>
      <w:rFonts w:ascii="Cambria" w:hAnsi="Cambria" w:cs="Guttman Keren"/>
      <w:b/>
      <w:bCs/>
      <w:kern w:val="32"/>
      <w:sz w:val="32"/>
      <w:szCs w:val="31"/>
    </w:rPr>
  </w:style>
  <w:style w:type="paragraph" w:styleId="2">
    <w:name w:val="heading 2"/>
    <w:basedOn w:val="a"/>
    <w:next w:val="a"/>
    <w:link w:val="20"/>
    <w:uiPriority w:val="9"/>
    <w:unhideWhenUsed/>
    <w:qFormat/>
    <w:rsid w:val="00175503"/>
    <w:pPr>
      <w:keepNext/>
      <w:keepLines/>
      <w:spacing w:before="200"/>
      <w:jc w:val="center"/>
      <w:outlineLvl w:val="1"/>
    </w:pPr>
    <w:rPr>
      <w:rFonts w:asciiTheme="majorHAnsi" w:eastAsiaTheme="majorEastAsia" w:hAnsiTheme="majorHAnsi" w:cs="David"/>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503"/>
    <w:rPr>
      <w:rFonts w:ascii="Cambria" w:eastAsia="Times New Roman" w:hAnsi="Cambria" w:cs="Guttman Keren"/>
      <w:b/>
      <w:bCs/>
      <w:kern w:val="32"/>
      <w:sz w:val="32"/>
      <w:szCs w:val="31"/>
    </w:rPr>
  </w:style>
  <w:style w:type="character" w:customStyle="1" w:styleId="20">
    <w:name w:val="כותרת 2 תו"/>
    <w:basedOn w:val="a0"/>
    <w:link w:val="2"/>
    <w:uiPriority w:val="9"/>
    <w:rsid w:val="00175503"/>
    <w:rPr>
      <w:rFonts w:asciiTheme="majorHAnsi" w:eastAsiaTheme="majorEastAsia" w:hAnsiTheme="majorHAnsi" w:cs="David"/>
      <w:b/>
      <w:bCs/>
      <w:sz w:val="26"/>
      <w:szCs w:val="28"/>
    </w:rPr>
  </w:style>
  <w:style w:type="paragraph" w:styleId="a3">
    <w:name w:val="footnote text"/>
    <w:basedOn w:val="a"/>
    <w:link w:val="a4"/>
    <w:uiPriority w:val="99"/>
    <w:semiHidden/>
    <w:unhideWhenUsed/>
    <w:rsid w:val="00175503"/>
    <w:pPr>
      <w:spacing w:line="240" w:lineRule="auto"/>
    </w:pPr>
    <w:rPr>
      <w:sz w:val="20"/>
      <w:szCs w:val="20"/>
    </w:rPr>
  </w:style>
  <w:style w:type="character" w:customStyle="1" w:styleId="a4">
    <w:name w:val="טקסט הערת שוליים תו"/>
    <w:basedOn w:val="a0"/>
    <w:link w:val="a3"/>
    <w:uiPriority w:val="99"/>
    <w:semiHidden/>
    <w:rsid w:val="00175503"/>
    <w:rPr>
      <w:rFonts w:ascii="Times New Roman" w:eastAsia="Times New Roman" w:hAnsi="Times New Roman" w:cs="Narkisim"/>
      <w:sz w:val="20"/>
      <w:szCs w:val="20"/>
    </w:rPr>
  </w:style>
  <w:style w:type="character" w:styleId="a5">
    <w:name w:val="footnote reference"/>
    <w:basedOn w:val="a0"/>
    <w:uiPriority w:val="99"/>
    <w:semiHidden/>
    <w:unhideWhenUsed/>
    <w:rsid w:val="00175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2701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3</cp:revision>
  <dcterms:created xsi:type="dcterms:W3CDTF">2018-09-02T08:39:00Z</dcterms:created>
  <dcterms:modified xsi:type="dcterms:W3CDTF">2018-09-02T08:47:00Z</dcterms:modified>
</cp:coreProperties>
</file>