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5C" w:rsidRPr="00E50C5C" w:rsidRDefault="00E50C5C" w:rsidP="00E50C5C">
      <w:pPr>
        <w:pStyle w:val="1"/>
        <w:rPr>
          <w:rtl/>
        </w:rPr>
      </w:pPr>
      <w:r w:rsidRPr="00E50C5C">
        <w:rPr>
          <w:rFonts w:hint="cs"/>
          <w:rtl/>
        </w:rPr>
        <w:t>ראבי"ה (</w:t>
      </w:r>
      <w:r w:rsidRPr="00E50C5C">
        <w:rPr>
          <w:rtl/>
        </w:rPr>
        <w:t>סי</w:t>
      </w:r>
      <w:r w:rsidRPr="00E50C5C">
        <w:rPr>
          <w:rFonts w:hint="cs"/>
          <w:rtl/>
        </w:rPr>
        <w:t>'</w:t>
      </w:r>
      <w:r w:rsidRPr="00E50C5C">
        <w:rPr>
          <w:rtl/>
        </w:rPr>
        <w:t xml:space="preserve"> תסד</w:t>
      </w:r>
      <w:r w:rsidRPr="00E50C5C">
        <w:rPr>
          <w:rFonts w:hint="cs"/>
          <w:rtl/>
        </w:rPr>
        <w:t>)</w:t>
      </w:r>
    </w:p>
    <w:p w:rsidR="00E50C5C" w:rsidRPr="00821716" w:rsidRDefault="00E50C5C" w:rsidP="00E50C5C">
      <w:pPr>
        <w:rPr>
          <w:rtl/>
        </w:rPr>
      </w:pPr>
      <w:r>
        <w:rPr>
          <w:rtl/>
        </w:rPr>
        <w:t xml:space="preserve">וקערות צריך להגעיל בכלי ראשון, ולא שנא של מתכות ולא שנא של עץ, </w:t>
      </w:r>
      <w:r w:rsidRPr="00821716">
        <w:rPr>
          <w:rtl/>
        </w:rPr>
        <w:t>מפני שפעמים שכופין את הקערה ע</w:t>
      </w:r>
      <w:r>
        <w:rPr>
          <w:rFonts w:hint="cs"/>
          <w:rtl/>
        </w:rPr>
        <w:t>"ג</w:t>
      </w:r>
      <w:r w:rsidRPr="00821716">
        <w:rPr>
          <w:rtl/>
        </w:rPr>
        <w:t xml:space="preserve"> בשר ודגים בתוך היורה, וגם שואבים בה </w:t>
      </w:r>
      <w:r>
        <w:rPr>
          <w:rtl/>
        </w:rPr>
        <w:t xml:space="preserve">מרק מתוך היורה הרותחת, והוה לה </w:t>
      </w:r>
      <w:r w:rsidRPr="00821716">
        <w:rPr>
          <w:rtl/>
        </w:rPr>
        <w:t>כלי ראשון</w:t>
      </w:r>
      <w:r>
        <w:rPr>
          <w:rFonts w:hint="cs"/>
          <w:rtl/>
        </w:rPr>
        <w:t>.</w:t>
      </w:r>
    </w:p>
    <w:p w:rsidR="00E50C5C" w:rsidRDefault="00E50C5C" w:rsidP="00E50C5C">
      <w:pPr>
        <w:pStyle w:val="1"/>
        <w:rPr>
          <w:rtl/>
        </w:rPr>
      </w:pPr>
      <w:r w:rsidRPr="009B66AB">
        <w:rPr>
          <w:rFonts w:hint="cs"/>
          <w:rtl/>
        </w:rPr>
        <w:t>תוס</w:t>
      </w:r>
      <w:r>
        <w:rPr>
          <w:rFonts w:hint="cs"/>
          <w:rtl/>
        </w:rPr>
        <w:t>פות (</w:t>
      </w:r>
      <w:r>
        <w:rPr>
          <w:rtl/>
        </w:rPr>
        <w:t>ע</w:t>
      </w:r>
      <w:r>
        <w:rPr>
          <w:rFonts w:hint="cs"/>
          <w:rtl/>
        </w:rPr>
        <w:t>"ז</w:t>
      </w:r>
      <w:r>
        <w:rPr>
          <w:rtl/>
        </w:rPr>
        <w:t xml:space="preserve"> עד ב</w:t>
      </w:r>
      <w:r>
        <w:rPr>
          <w:rFonts w:hint="cs"/>
          <w:rtl/>
        </w:rPr>
        <w:t>)</w:t>
      </w:r>
    </w:p>
    <w:p w:rsidR="00E50C5C" w:rsidRPr="009B66AB" w:rsidRDefault="00E50C5C" w:rsidP="00E50C5C">
      <w:pPr>
        <w:rPr>
          <w:rtl/>
        </w:rPr>
      </w:pPr>
      <w:r>
        <w:rPr>
          <w:rtl/>
        </w:rPr>
        <w:t>והני קערות שהם בולעות ע</w:t>
      </w:r>
      <w:r>
        <w:rPr>
          <w:rFonts w:hint="cs"/>
          <w:rtl/>
        </w:rPr>
        <w:t>"י</w:t>
      </w:r>
      <w:r>
        <w:rPr>
          <w:rtl/>
        </w:rPr>
        <w:t xml:space="preserve"> עירוי היה נראה כמו</w:t>
      </w:r>
      <w:r>
        <w:rPr>
          <w:rFonts w:hint="cs"/>
          <w:rtl/>
        </w:rPr>
        <w:t>"</w:t>
      </w:r>
      <w:r>
        <w:rPr>
          <w:rtl/>
        </w:rPr>
        <w:t xml:space="preserve">כ דסגי להו בעירוי להגעילן וכן פירשתי בסדר ביעור חמץ בקרובץ שבת הגדול שיסד רבינו יוסף ט"ע קדירות אין צריך לפלחא כו' וקערות מותרות כי שקיל מדורא עלייהו לאנחא </w:t>
      </w:r>
      <w:r w:rsidRPr="00821716">
        <w:rPr>
          <w:b/>
          <w:bCs/>
          <w:rtl/>
        </w:rPr>
        <w:t>ומיהו אין הלכה כך אלא צריך להגעילן בכ</w:t>
      </w:r>
      <w:r>
        <w:rPr>
          <w:rFonts w:hint="cs"/>
          <w:b/>
          <w:bCs/>
          <w:rtl/>
        </w:rPr>
        <w:t>"ר</w:t>
      </w:r>
      <w:r w:rsidRPr="00821716">
        <w:rPr>
          <w:b/>
          <w:bCs/>
          <w:rtl/>
        </w:rPr>
        <w:t xml:space="preserve"> משום דפעמים שתוחבין הקערות בתוך הכ</w:t>
      </w:r>
      <w:r>
        <w:rPr>
          <w:rFonts w:hint="cs"/>
          <w:b/>
          <w:bCs/>
          <w:rtl/>
        </w:rPr>
        <w:t>"ר</w:t>
      </w:r>
      <w:r w:rsidRPr="00821716">
        <w:rPr>
          <w:b/>
          <w:bCs/>
          <w:rtl/>
        </w:rPr>
        <w:t xml:space="preserve"> ותוך יורה מרותחת</w:t>
      </w:r>
      <w:r>
        <w:rPr>
          <w:rFonts w:hint="cs"/>
          <w:rtl/>
        </w:rPr>
        <w:t>.</w:t>
      </w:r>
    </w:p>
    <w:p w:rsidR="00E50C5C" w:rsidRDefault="00E50C5C" w:rsidP="00E50C5C">
      <w:pPr>
        <w:pStyle w:val="1"/>
        <w:rPr>
          <w:rtl/>
        </w:rPr>
      </w:pPr>
      <w:r>
        <w:rPr>
          <w:rFonts w:hint="cs"/>
          <w:rtl/>
        </w:rPr>
        <w:t>שו"ת הרשב"א (ח"א סי' שעב)</w:t>
      </w:r>
    </w:p>
    <w:p w:rsidR="00E50C5C" w:rsidRDefault="00E50C5C" w:rsidP="00E50C5C">
      <w:pPr>
        <w:rPr>
          <w:rtl/>
        </w:rPr>
      </w:pPr>
      <w:r>
        <w:rPr>
          <w:rtl/>
        </w:rPr>
        <w:t xml:space="preserve">שאלת עוד כוסות או טאסים של מתכות שמשתמשין בהן כל השנה ורוצה להשתמש בהן בפסח. אם יספיק בהן הדחה בעלמא כמו ששנינו דברים שמשתמשין בהן בצונן כגון הכוסות והצלוחיות מדיחן ומטבילן והן טהורין. או נחוש כי לפעמים בימות החורף מניחין אותן על האש לחמם בהם את היין ונותנין שם חמץ ויצטרכו הגעלה? וזה יתפשט ללוקח כוסות מן הגוי. </w:t>
      </w:r>
    </w:p>
    <w:p w:rsidR="00E50C5C" w:rsidRDefault="00E50C5C" w:rsidP="00E50C5C">
      <w:pPr>
        <w:rPr>
          <w:rtl/>
        </w:rPr>
      </w:pPr>
      <w:r>
        <w:rPr>
          <w:rtl/>
        </w:rPr>
        <w:t xml:space="preserve">תשובה משורת הדין נראה שאינו צריך אלא הדחה כמו ששנינו בברייתא. שאע"פ שפעמים עושין כן כמו שאמרו </w:t>
      </w:r>
      <w:r w:rsidRPr="00E905EF">
        <w:rPr>
          <w:b/>
          <w:bCs/>
          <w:rtl/>
        </w:rPr>
        <w:t>כל שאינו בן יומו מותר ולפיכ</w:t>
      </w:r>
      <w:r w:rsidRPr="00E905EF">
        <w:rPr>
          <w:rFonts w:hint="cs"/>
          <w:b/>
          <w:bCs/>
          <w:rtl/>
        </w:rPr>
        <w:t>ך</w:t>
      </w:r>
      <w:r w:rsidRPr="00E905EF">
        <w:rPr>
          <w:b/>
          <w:bCs/>
          <w:rtl/>
        </w:rPr>
        <w:t xml:space="preserve"> לא הלכו בהן חכמים אלא אחר עיקר תשמיש</w:t>
      </w:r>
      <w:r>
        <w:rPr>
          <w:rtl/>
        </w:rPr>
        <w:t>. שאם אין אתה אומר כן לא אמרו בלוקח כלים ישנים מן הגוי שאין הכוסות והצלוחיות צריכין אלא הדחה. וכי נשתנה תשמישן של כוסות מאותו זמן לזמננו עולם כמנהגו נוהג. אלא שלא הלכו בהכשר הכלים אלא אחר עיקר תשמישן. ומ</w:t>
      </w:r>
      <w:r>
        <w:rPr>
          <w:rFonts w:hint="cs"/>
          <w:rtl/>
        </w:rPr>
        <w:t>"מ</w:t>
      </w:r>
      <w:r>
        <w:rPr>
          <w:rtl/>
        </w:rPr>
        <w:t xml:space="preserve"> עכשו נהגו בפסח להגעיל את הכל משום חומרו של חמץ.</w:t>
      </w:r>
    </w:p>
    <w:p w:rsidR="00E50C5C" w:rsidRDefault="00E50C5C" w:rsidP="00E50C5C">
      <w:pPr>
        <w:pStyle w:val="1"/>
        <w:rPr>
          <w:rtl/>
        </w:rPr>
      </w:pPr>
      <w:r>
        <w:rPr>
          <w:rFonts w:hint="cs"/>
          <w:rtl/>
        </w:rPr>
        <w:t>פר"ח (סי' תנא ס"ק ו)</w:t>
      </w:r>
    </w:p>
    <w:p w:rsidR="00E50C5C" w:rsidRDefault="00E50C5C" w:rsidP="00E50C5C">
      <w:pPr>
        <w:rPr>
          <w:rtl/>
        </w:rPr>
      </w:pPr>
      <w:r>
        <w:rPr>
          <w:rFonts w:hint="cs"/>
          <w:rtl/>
        </w:rPr>
        <w:t>והכי מסתברא דלא אזלינן בכלי בתר רוב תשמישו שהרי כלי שני שכיסו בו קדרה או שהניחוהו באש לחמם בו שום דבר וכיוצא על כרחך בלע טפי מכלי שני שמערין לתוכו רותח ומעתה איך נאמר שנפלט האיסור שבלע בהיותו תשמיש כ"ר ע"י עירוי והלא כלל גדול אמרו כבולעו כך פולטו.</w:t>
      </w:r>
    </w:p>
    <w:p w:rsidR="00E50C5C" w:rsidRDefault="00E50C5C" w:rsidP="00E50C5C">
      <w:pPr>
        <w:pStyle w:val="1"/>
        <w:rPr>
          <w:rtl/>
        </w:rPr>
      </w:pPr>
      <w:r w:rsidRPr="00FE41BD">
        <w:rPr>
          <w:rFonts w:hint="cs"/>
          <w:rtl/>
        </w:rPr>
        <w:t>שו"ת אגר"מ (או"ח ה סי' לא</w:t>
      </w:r>
      <w:r>
        <w:rPr>
          <w:rFonts w:hint="cs"/>
          <w:rtl/>
        </w:rPr>
        <w:t>)</w:t>
      </w:r>
    </w:p>
    <w:p w:rsidR="00E50C5C" w:rsidRDefault="00E50C5C" w:rsidP="00E50C5C">
      <w:pPr>
        <w:rPr>
          <w:rtl/>
        </w:rPr>
      </w:pPr>
      <w:r>
        <w:rPr>
          <w:rtl/>
        </w:rPr>
        <w:t>בטעם שהולכין אחר רוב תשמיש, שתמוה בידוע שמיעוט פעמים נשתמשו ע</w:t>
      </w:r>
      <w:r>
        <w:rPr>
          <w:rFonts w:hint="cs"/>
          <w:rtl/>
        </w:rPr>
        <w:t>"</w:t>
      </w:r>
      <w:r>
        <w:rPr>
          <w:rtl/>
        </w:rPr>
        <w:t>י אור וע</w:t>
      </w:r>
      <w:r>
        <w:rPr>
          <w:rFonts w:hint="cs"/>
          <w:rtl/>
        </w:rPr>
        <w:t>"</w:t>
      </w:r>
      <w:r>
        <w:rPr>
          <w:rtl/>
        </w:rPr>
        <w:t>י רותחין, שנכשירו בהגעלה שהיא בדרך הבליעה דהרוב</w:t>
      </w:r>
      <w:r>
        <w:rPr>
          <w:rFonts w:hint="cs"/>
          <w:rtl/>
        </w:rPr>
        <w:t>,</w:t>
      </w:r>
      <w:r>
        <w:rPr>
          <w:rtl/>
        </w:rPr>
        <w:t xml:space="preserve"> אף שברור שכלי שרק פעם אחת נשתמשו ע</w:t>
      </w:r>
      <w:r>
        <w:rPr>
          <w:rFonts w:hint="cs"/>
          <w:rtl/>
        </w:rPr>
        <w:t>"</w:t>
      </w:r>
      <w:r>
        <w:rPr>
          <w:rtl/>
        </w:rPr>
        <w:t>י אור ורותחין דאיסור, צריך הגעלה הגדולה. נלע"ד דהא חזינן שרבנן שאסרו קדרה שאינה בת יומא לא אסרו לאכול דבר הפגום, דהא האוכל כשר. ורק שאסרו להשתמש באינו בן יומו אטו בן יומו, שהוא איסור על האדם. לכן נהי שבפעם אחד הצריכו הגעלה הגדולה, משום שרק על שם איסור זה נקרא ואם יתירוהו בהגעלה גרועה אתי למיחלף באיסור כה"ג בן יומו, והיא עצם הגזירה על קדירה שאינה בת יומה. אבל כיוון שנשתמשו בו הרבה נקרא הכלי על שם האיסור של הרוב פעמים, ולא יבואו לטעות לבן יומו ולהתיר בהגעלה גרועה קדרה בת יומה שנשתמשו בה בכלי ראשון, כיוון שבקדירה זו השתמשו בד"כ בכלי שני, ולכן ליתא לטעם הגזירה. וא</w:t>
      </w:r>
      <w:r>
        <w:rPr>
          <w:rFonts w:hint="cs"/>
          <w:rtl/>
        </w:rPr>
        <w:t>"</w:t>
      </w:r>
      <w:r>
        <w:rPr>
          <w:rtl/>
        </w:rPr>
        <w:t>כ מה שאזלינן בתר רוב תשמישו הוא רק בהגעלה דאחר בן יומו שהוא דרבנן</w:t>
      </w:r>
      <w:r>
        <w:rPr>
          <w:rFonts w:hint="cs"/>
          <w:rtl/>
        </w:rPr>
        <w:t>..</w:t>
      </w:r>
      <w:r>
        <w:rPr>
          <w:rtl/>
        </w:rPr>
        <w:t>.</w:t>
      </w:r>
    </w:p>
    <w:p w:rsidR="00E50C5C" w:rsidRDefault="00E50C5C" w:rsidP="00E50C5C">
      <w:pPr>
        <w:pStyle w:val="1"/>
        <w:rPr>
          <w:rtl/>
        </w:rPr>
      </w:pPr>
      <w:r>
        <w:rPr>
          <w:rFonts w:hint="cs"/>
          <w:rtl/>
        </w:rPr>
        <w:t>שו"ת הרמ"ע מפאנו (סי' צו)</w:t>
      </w:r>
    </w:p>
    <w:p w:rsidR="00E50C5C" w:rsidRPr="00C67137" w:rsidRDefault="00E50C5C" w:rsidP="00E50C5C">
      <w:pPr>
        <w:rPr>
          <w:rtl/>
        </w:rPr>
      </w:pPr>
      <w:r>
        <w:rPr>
          <w:rtl/>
        </w:rPr>
        <w:t>וכבר נתחבטו חכמי הישיבות שגדלתי ביניהם, על מה שנסתפק להם אם כבולעו כך פולטו ימשך מזה שפעם אחת בלבד שנשתמשנו בו בסכין ע"י האור אין לו הפלטה אלא ע"י האור ואיך יספיק להכשירו כפי רוב תשמישו, שהוא ברותחין ובכ</w:t>
      </w:r>
      <w:r>
        <w:rPr>
          <w:rFonts w:hint="cs"/>
          <w:rtl/>
        </w:rPr>
        <w:t>"ר</w:t>
      </w:r>
      <w:r>
        <w:rPr>
          <w:rtl/>
        </w:rPr>
        <w:t xml:space="preserve"> וכן לכל כיוצא בזה לפי הדעת המוסמכת</w:t>
      </w:r>
      <w:r>
        <w:rPr>
          <w:rFonts w:hint="cs"/>
          <w:rtl/>
        </w:rPr>
        <w:t>,</w:t>
      </w:r>
      <w:r>
        <w:rPr>
          <w:rtl/>
        </w:rPr>
        <w:t xml:space="preserve"> וקצתם חשבו שדוקא אם לא ידענו בברור ואין לנו אלא חששא בעלמא שנשתמש בו מיעוט ע"י האור הוא שתולין ברוב תשמישו, ואין הדבר כן אלא בפירוש אמרו שאפי' ודאי נשתמש מעוט בחמורה ורוב בקלה די לנו בהכשר הקל והוא דעת רש"י והרבה מן המפרשים האריך בו הר"ן בפ' כל שעה ובסוף פרק השוכר את הפועל</w:t>
      </w:r>
      <w:r>
        <w:rPr>
          <w:rFonts w:hint="cs"/>
          <w:rtl/>
        </w:rPr>
        <w:t>,</w:t>
      </w:r>
      <w:r>
        <w:rPr>
          <w:rtl/>
        </w:rPr>
        <w:t xml:space="preserve"> </w:t>
      </w:r>
      <w:r w:rsidRPr="00076E1C">
        <w:rPr>
          <w:b/>
          <w:bCs/>
          <w:rtl/>
        </w:rPr>
        <w:t>ומסתברא לן שאם הכלי הזה שרוב תשמישו בחמין הוא בן יומו מאותו המעוט שנשתמש בו ע"י האור צריך לבון לכ"ע וספקו לחומרא דאסור תורה הוא, ואם אינו בן יומו הואיל ונותן טעם לפגם הוא ואין אסורו אלא מדרבנן הם אמרו והם אמרו</w:t>
      </w:r>
      <w:r>
        <w:rPr>
          <w:rtl/>
        </w:rPr>
        <w:t>, וסתמו נמי תולין להקל שלא נשתמש בו אלא כפי רוב תשמישו, ועל כיוצא בזה שנינו בסוף ערובין כל מקום שהתירו לך חכמים משלך נתנו לך, ואין כאן מיחוש כלל וכך הם דברי הרשב"א בתשובה סי' שעב.</w:t>
      </w:r>
    </w:p>
    <w:p w:rsidR="00E50C5C" w:rsidRDefault="00E50C5C" w:rsidP="00E50C5C">
      <w:pPr>
        <w:pStyle w:val="1"/>
        <w:rPr>
          <w:rtl/>
        </w:rPr>
      </w:pPr>
      <w:r>
        <w:rPr>
          <w:rFonts w:hint="cs"/>
          <w:rtl/>
        </w:rPr>
        <w:t>שו"ת שבה"ל (ח"ו סי' נו ס"ק ט)</w:t>
      </w:r>
    </w:p>
    <w:p w:rsidR="00DE3E66" w:rsidRPr="00E50C5C" w:rsidRDefault="00E50C5C" w:rsidP="00E50C5C">
      <w:r w:rsidRPr="00E50C5C">
        <w:rPr>
          <w:rFonts w:hint="cs"/>
          <w:rtl/>
        </w:rPr>
        <w:t>איברא עדיין קושיית פרמ"ג במש"ז ס"ק יא כחומה דהא לדידן קיי"ל סי' תמז דנטל"פ אסור בפסח אפי' דיעבד אפי' משהו, וא"כ איך סומכין על דין הולכין אחרי רוב תשמישו אפי' דיעבד יע"ש.</w:t>
      </w:r>
    </w:p>
    <w:sectPr w:rsidR="00DE3E66" w:rsidRPr="00E50C5C" w:rsidSect="00E50C5C">
      <w:pgSz w:w="11906" w:h="16838"/>
      <w:pgMar w:top="851" w:right="1800" w:bottom="709" w:left="1800" w:header="708" w:footer="708" w:gutter="0"/>
      <w:cols w:num="2" w:space="454"/>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9A9" w:rsidRDefault="00C879A9" w:rsidP="00E50C5C">
      <w:r>
        <w:separator/>
      </w:r>
    </w:p>
  </w:endnote>
  <w:endnote w:type="continuationSeparator" w:id="0">
    <w:p w:rsidR="00C879A9" w:rsidRDefault="00C879A9" w:rsidP="00E50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9A9" w:rsidRDefault="00C879A9" w:rsidP="00E50C5C">
      <w:r>
        <w:separator/>
      </w:r>
    </w:p>
  </w:footnote>
  <w:footnote w:type="continuationSeparator" w:id="0">
    <w:p w:rsidR="00C879A9" w:rsidRDefault="00C879A9" w:rsidP="00E50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50C5C"/>
    <w:rsid w:val="00390E08"/>
    <w:rsid w:val="00523A01"/>
    <w:rsid w:val="006402D7"/>
    <w:rsid w:val="00C2601B"/>
    <w:rsid w:val="00C879A9"/>
    <w:rsid w:val="00DD586F"/>
    <w:rsid w:val="00DE3E66"/>
    <w:rsid w:val="00E50C5C"/>
    <w:rsid w:val="00F73589"/>
    <w:rsid w:val="00F94B0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C5C"/>
    <w:pPr>
      <w:bidi/>
      <w:spacing w:after="0" w:line="360" w:lineRule="auto"/>
      <w:jc w:val="both"/>
    </w:pPr>
    <w:rPr>
      <w:rFonts w:ascii="Times New Roman" w:eastAsia="Times New Roman" w:hAnsi="Times New Roman" w:cs="Narkisim"/>
    </w:rPr>
  </w:style>
  <w:style w:type="paragraph" w:styleId="1">
    <w:name w:val="heading 1"/>
    <w:basedOn w:val="a"/>
    <w:next w:val="a"/>
    <w:link w:val="10"/>
    <w:uiPriority w:val="9"/>
    <w:qFormat/>
    <w:rsid w:val="00E50C5C"/>
    <w:pPr>
      <w:keepNext/>
      <w:jc w:val="center"/>
      <w:outlineLvl w:val="0"/>
    </w:pPr>
    <w:rPr>
      <w:rFonts w:cs="Guttman Keren"/>
      <w:b/>
      <w:bCs/>
      <w:sz w:val="20"/>
      <w:szCs w:val="20"/>
    </w:rPr>
  </w:style>
  <w:style w:type="paragraph" w:styleId="2">
    <w:name w:val="heading 2"/>
    <w:basedOn w:val="a"/>
    <w:next w:val="a"/>
    <w:link w:val="20"/>
    <w:qFormat/>
    <w:rsid w:val="00E50C5C"/>
    <w:pPr>
      <w:keepNext/>
      <w:spacing w:before="240" w:after="60"/>
      <w:outlineLvl w:val="1"/>
    </w:pPr>
    <w:rPr>
      <w:rFonts w:ascii="Arial" w:hAnsi="Arial"/>
      <w:b/>
      <w:bCs/>
      <w:i/>
      <w:sz w:val="32"/>
      <w:szCs w:val="40"/>
    </w:rPr>
  </w:style>
  <w:style w:type="paragraph" w:styleId="3">
    <w:name w:val="heading 3"/>
    <w:basedOn w:val="a"/>
    <w:next w:val="a"/>
    <w:link w:val="30"/>
    <w:qFormat/>
    <w:rsid w:val="00E50C5C"/>
    <w:pPr>
      <w:keepNext/>
      <w:spacing w:before="120" w:after="60"/>
      <w:outlineLvl w:val="2"/>
    </w:pPr>
    <w:rPr>
      <w:rFonts w:ascii="Arial" w:hAnsi="Arial"/>
      <w:b/>
      <w:bCs/>
      <w:sz w:val="30"/>
      <w:szCs w:val="36"/>
    </w:rPr>
  </w:style>
  <w:style w:type="paragraph" w:styleId="4">
    <w:name w:val="heading 4"/>
    <w:basedOn w:val="a"/>
    <w:next w:val="a"/>
    <w:link w:val="40"/>
    <w:qFormat/>
    <w:rsid w:val="00E50C5C"/>
    <w:pPr>
      <w:keepNext/>
      <w:outlineLvl w:val="3"/>
    </w:pPr>
    <w:rPr>
      <w:b/>
      <w:bCs/>
      <w:sz w:val="32"/>
      <w:szCs w:val="32"/>
    </w:rPr>
  </w:style>
  <w:style w:type="paragraph" w:styleId="5">
    <w:name w:val="heading 5"/>
    <w:basedOn w:val="a"/>
    <w:next w:val="a"/>
    <w:link w:val="50"/>
    <w:unhideWhenUsed/>
    <w:qFormat/>
    <w:rsid w:val="00E50C5C"/>
    <w:pPr>
      <w:spacing w:before="240" w:after="60"/>
      <w:outlineLvl w:val="4"/>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E50C5C"/>
    <w:rPr>
      <w:rFonts w:ascii="Arial" w:eastAsia="Times New Roman" w:hAnsi="Arial" w:cs="Narkisim"/>
      <w:b/>
      <w:bCs/>
      <w:i/>
      <w:sz w:val="32"/>
      <w:szCs w:val="40"/>
    </w:rPr>
  </w:style>
  <w:style w:type="character" w:customStyle="1" w:styleId="30">
    <w:name w:val="כותרת 3 תו"/>
    <w:basedOn w:val="a0"/>
    <w:link w:val="3"/>
    <w:rsid w:val="00E50C5C"/>
    <w:rPr>
      <w:rFonts w:ascii="Arial" w:eastAsia="Times New Roman" w:hAnsi="Arial" w:cs="Narkisim"/>
      <w:b/>
      <w:bCs/>
      <w:sz w:val="30"/>
      <w:szCs w:val="36"/>
    </w:rPr>
  </w:style>
  <w:style w:type="character" w:customStyle="1" w:styleId="40">
    <w:name w:val="כותרת 4 תו"/>
    <w:basedOn w:val="a0"/>
    <w:link w:val="4"/>
    <w:rsid w:val="00E50C5C"/>
    <w:rPr>
      <w:rFonts w:ascii="Times New Roman" w:eastAsia="Times New Roman" w:hAnsi="Times New Roman" w:cs="Narkisim"/>
      <w:b/>
      <w:bCs/>
      <w:sz w:val="32"/>
      <w:szCs w:val="32"/>
    </w:rPr>
  </w:style>
  <w:style w:type="character" w:customStyle="1" w:styleId="50">
    <w:name w:val="כותרת 5 תו"/>
    <w:basedOn w:val="a0"/>
    <w:link w:val="5"/>
    <w:rsid w:val="00E50C5C"/>
    <w:rPr>
      <w:rFonts w:ascii="Calibri" w:eastAsia="Times New Roman" w:hAnsi="Calibri" w:cs="Narkisim"/>
      <w:b/>
      <w:bCs/>
      <w:sz w:val="28"/>
      <w:szCs w:val="28"/>
    </w:rPr>
  </w:style>
  <w:style w:type="paragraph" w:styleId="a3">
    <w:name w:val="footnote text"/>
    <w:basedOn w:val="a"/>
    <w:link w:val="a4"/>
    <w:semiHidden/>
    <w:rsid w:val="00E50C5C"/>
    <w:rPr>
      <w:sz w:val="20"/>
      <w:szCs w:val="20"/>
    </w:rPr>
  </w:style>
  <w:style w:type="character" w:customStyle="1" w:styleId="a4">
    <w:name w:val="טקסט הערת שוליים תו"/>
    <w:basedOn w:val="a0"/>
    <w:link w:val="a3"/>
    <w:semiHidden/>
    <w:rsid w:val="00E50C5C"/>
    <w:rPr>
      <w:rFonts w:ascii="Times New Roman" w:eastAsia="Times New Roman" w:hAnsi="Times New Roman" w:cs="Narkisim"/>
      <w:sz w:val="20"/>
      <w:szCs w:val="20"/>
    </w:rPr>
  </w:style>
  <w:style w:type="character" w:styleId="a5">
    <w:name w:val="footnote reference"/>
    <w:basedOn w:val="a0"/>
    <w:semiHidden/>
    <w:rsid w:val="00E50C5C"/>
    <w:rPr>
      <w:vertAlign w:val="superscript"/>
    </w:rPr>
  </w:style>
  <w:style w:type="character" w:customStyle="1" w:styleId="10">
    <w:name w:val="כותרת 1 תו"/>
    <w:basedOn w:val="a0"/>
    <w:link w:val="1"/>
    <w:uiPriority w:val="9"/>
    <w:rsid w:val="00E50C5C"/>
    <w:rPr>
      <w:rFonts w:ascii="Times New Roman" w:eastAsia="Times New Roman" w:hAnsi="Times New Roman" w:cs="Guttman Kere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579</Words>
  <Characters>2896</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ברנר גיורא</dc:creator>
  <cp:lastModifiedBy>ברנר גיורא</cp:lastModifiedBy>
  <cp:revision>1</cp:revision>
  <cp:lastPrinted>2015-11-18T07:30:00Z</cp:lastPrinted>
  <dcterms:created xsi:type="dcterms:W3CDTF">2015-11-18T07:01:00Z</dcterms:created>
  <dcterms:modified xsi:type="dcterms:W3CDTF">2015-11-18T07:31:00Z</dcterms:modified>
</cp:coreProperties>
</file>