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00" w:rsidRPr="00381500" w:rsidRDefault="00381500" w:rsidP="00381500">
      <w:pPr>
        <w:pStyle w:val="1"/>
        <w:rPr>
          <w:rFonts w:hint="cs"/>
          <w:rtl/>
        </w:rPr>
      </w:pPr>
      <w:r w:rsidRPr="00381500">
        <w:rPr>
          <w:rFonts w:hint="cs"/>
          <w:rtl/>
        </w:rPr>
        <w:t>עולת שבת (סי' תמז ס"ק ד)</w:t>
      </w:r>
    </w:p>
    <w:p w:rsidR="00381500" w:rsidRPr="00381500" w:rsidRDefault="00381500" w:rsidP="00381500">
      <w:pPr>
        <w:spacing w:line="276" w:lineRule="auto"/>
        <w:rPr>
          <w:rFonts w:hint="cs"/>
          <w:sz w:val="22"/>
          <w:szCs w:val="22"/>
          <w:rtl/>
        </w:rPr>
      </w:pPr>
      <w:r w:rsidRPr="00381500">
        <w:rPr>
          <w:rFonts w:hint="cs"/>
          <w:sz w:val="22"/>
          <w:szCs w:val="22"/>
          <w:rtl/>
        </w:rPr>
        <w:t xml:space="preserve">ומש"כ ויש חולקים- הוא דעת הרמב"ם ז"ל וכבר כתבתי דלא ס"ל להרמב"ם דחו"נ רק בדאיכא ממשו של חמץ בתערובת </w:t>
      </w:r>
      <w:r w:rsidRPr="00381500">
        <w:rPr>
          <w:rFonts w:hint="cs"/>
          <w:b/>
          <w:bCs/>
          <w:sz w:val="22"/>
          <w:szCs w:val="22"/>
          <w:rtl/>
        </w:rPr>
        <w:t>ואפי' לא חזר וחממהו</w:t>
      </w:r>
      <w:r w:rsidRPr="00381500">
        <w:rPr>
          <w:rFonts w:hint="cs"/>
          <w:sz w:val="22"/>
          <w:szCs w:val="22"/>
          <w:rtl/>
        </w:rPr>
        <w:t>...</w:t>
      </w:r>
    </w:p>
    <w:p w:rsidR="00381500" w:rsidRPr="00381500" w:rsidRDefault="00381500" w:rsidP="00381500">
      <w:pPr>
        <w:spacing w:line="276" w:lineRule="auto"/>
        <w:rPr>
          <w:rFonts w:hint="cs"/>
          <w:sz w:val="22"/>
          <w:szCs w:val="22"/>
          <w:rtl/>
        </w:rPr>
      </w:pPr>
      <w:r w:rsidRPr="00381500">
        <w:rPr>
          <w:rFonts w:hint="cs"/>
          <w:sz w:val="22"/>
          <w:szCs w:val="22"/>
          <w:rtl/>
        </w:rPr>
        <w:t xml:space="preserve">ומש"כ בכל תערובת שהוא לח בלח- פי' אפילו לבשל בפסח מותר, וכן מוכח מדברי תרה"ד סי' קיד עי"ש. ולא דמי למש"כ בסע' ג בחטה שנמצא וכו', </w:t>
      </w:r>
      <w:r w:rsidRPr="00381500">
        <w:rPr>
          <w:rFonts w:hint="cs"/>
          <w:b/>
          <w:bCs/>
          <w:sz w:val="22"/>
          <w:szCs w:val="22"/>
          <w:rtl/>
        </w:rPr>
        <w:t>דשאני התם שניכרת החטה בפני עצמה וכיון שנותנת טעם חדש בפסח אסור, אבל במה שאינו ניכר בפני עצמו אע"פ שנותן טעם חדש בפסח אין לאסור</w:t>
      </w:r>
      <w:r w:rsidRPr="00381500">
        <w:rPr>
          <w:rFonts w:hint="cs"/>
          <w:sz w:val="22"/>
          <w:szCs w:val="22"/>
          <w:rtl/>
        </w:rPr>
        <w:t>, כיון דשם תערובת עליו מקודם הפסח אינו חו"נ ודוק.</w:t>
      </w:r>
    </w:p>
    <w:p w:rsidR="00381500" w:rsidRPr="00381500" w:rsidRDefault="00381500" w:rsidP="00381500">
      <w:pPr>
        <w:spacing w:line="276" w:lineRule="auto"/>
        <w:rPr>
          <w:rFonts w:hint="cs"/>
          <w:sz w:val="22"/>
          <w:szCs w:val="22"/>
          <w:rtl/>
        </w:rPr>
      </w:pPr>
      <w:r w:rsidRPr="00381500">
        <w:rPr>
          <w:rFonts w:hint="cs"/>
          <w:sz w:val="22"/>
          <w:szCs w:val="22"/>
          <w:rtl/>
        </w:rPr>
        <w:t xml:space="preserve">ומש"כ אבל בדבר יבש שנתערב כו'- ונראה דאפי' נתערב כ"כ שיש בהיתר ס' נגד האיסור </w:t>
      </w:r>
      <w:r w:rsidRPr="00381500">
        <w:rPr>
          <w:rFonts w:hint="cs"/>
          <w:b/>
          <w:bCs/>
          <w:sz w:val="22"/>
          <w:szCs w:val="22"/>
          <w:rtl/>
        </w:rPr>
        <w:t>אפי' הכי אסור לבשל בפסח דהא מתחדש הטעם בפסח</w:t>
      </w:r>
      <w:r w:rsidRPr="00381500">
        <w:rPr>
          <w:rFonts w:hint="cs"/>
          <w:sz w:val="22"/>
          <w:szCs w:val="22"/>
          <w:rtl/>
        </w:rPr>
        <w:t>. ולא דמי לתערובת לח בלח, דהתם הוי כמו אם נתבשל התערובת קודם הפסח כיון שמתערב יפה ואין עומד בפני עצמו. ומסיק בתרה"ד שם דקמח בקמח מיקרי לח בלח, ואם נתבטל קודם פסח מותר לאפות ממנו מצות אפי' בפסח עי"ש ודוק.</w:t>
      </w:r>
    </w:p>
    <w:p w:rsidR="00381500" w:rsidRPr="00381500" w:rsidRDefault="00381500" w:rsidP="00381500">
      <w:pPr>
        <w:pStyle w:val="1"/>
        <w:rPr>
          <w:rFonts w:hint="cs"/>
          <w:rtl/>
        </w:rPr>
      </w:pPr>
      <w:r w:rsidRPr="00381500">
        <w:rPr>
          <w:rFonts w:hint="cs"/>
          <w:rtl/>
        </w:rPr>
        <w:t>ראבי"ה (</w:t>
      </w:r>
      <w:r w:rsidRPr="00381500">
        <w:rPr>
          <w:rtl/>
        </w:rPr>
        <w:t>ח</w:t>
      </w:r>
      <w:r w:rsidRPr="00381500">
        <w:rPr>
          <w:rFonts w:hint="cs"/>
          <w:rtl/>
        </w:rPr>
        <w:t>"ב</w:t>
      </w:r>
      <w:r w:rsidRPr="00381500">
        <w:rPr>
          <w:rtl/>
        </w:rPr>
        <w:t xml:space="preserve"> סי</w:t>
      </w:r>
      <w:r w:rsidRPr="00381500">
        <w:rPr>
          <w:rFonts w:hint="cs"/>
          <w:rtl/>
        </w:rPr>
        <w:t>'</w:t>
      </w:r>
      <w:r w:rsidRPr="00381500">
        <w:rPr>
          <w:rtl/>
        </w:rPr>
        <w:t xml:space="preserve"> תכ</w:t>
      </w:r>
      <w:r w:rsidRPr="00381500">
        <w:rPr>
          <w:rFonts w:hint="cs"/>
          <w:rtl/>
        </w:rPr>
        <w:t>)</w:t>
      </w:r>
    </w:p>
    <w:p w:rsidR="00381500" w:rsidRPr="00381500" w:rsidRDefault="00381500" w:rsidP="00381500">
      <w:pPr>
        <w:spacing w:line="276" w:lineRule="auto"/>
        <w:rPr>
          <w:rFonts w:hint="cs"/>
          <w:sz w:val="22"/>
          <w:szCs w:val="22"/>
          <w:rtl/>
        </w:rPr>
      </w:pPr>
      <w:r w:rsidRPr="00381500">
        <w:rPr>
          <w:sz w:val="22"/>
          <w:szCs w:val="22"/>
          <w:rtl/>
        </w:rPr>
        <w:t>אירע מעשה שנתנו שכר ביין לפני הפסח, ושאלו אם מותר להשהותו בפסח אם לאו. נראה בעיני דמותר להשהותו עד לאחר הפסח, ומותר בהנאה. דודאי בפסח אסור לשתותו, דא</w:t>
      </w:r>
      <w:r w:rsidRPr="00381500">
        <w:rPr>
          <w:rFonts w:hint="cs"/>
          <w:sz w:val="22"/>
          <w:szCs w:val="22"/>
          <w:rtl/>
        </w:rPr>
        <w:t>ע"פ</w:t>
      </w:r>
      <w:r w:rsidRPr="00381500">
        <w:rPr>
          <w:sz w:val="22"/>
          <w:szCs w:val="22"/>
          <w:rtl/>
        </w:rPr>
        <w:t xml:space="preserve"> שנתבטל קודם הפסח, שהיה ביין יותר מששים בשכר, כי אתי פסח עליה אסור מדרבנן, דפסק רבא חמץ בזמנו בין במינו בין שלא במינו אסור במשהו, ובשאינו מינו גזרו רבנן אטו מינו, והואיל ואינו אסור אלא מדרבנן אסור באכילה, אבל להשהותו מותר.</w:t>
      </w:r>
      <w:r w:rsidRPr="00381500">
        <w:rPr>
          <w:rFonts w:hint="cs"/>
          <w:sz w:val="22"/>
          <w:szCs w:val="22"/>
          <w:rtl/>
        </w:rPr>
        <w:t xml:space="preserve">.. </w:t>
      </w:r>
      <w:r w:rsidRPr="00381500">
        <w:rPr>
          <w:sz w:val="22"/>
          <w:szCs w:val="22"/>
          <w:rtl/>
        </w:rPr>
        <w:t>ולא יעלה על לב איש להתיר יין זה אף בשתייה, משום הואיל ונתבטל קודם הפסח בשאינו מינו, ולא גזרו שאינו מינו אטו מינו אלא כשנתערב בפסח. דלאו מילתא היא, דקודם פסח תרווייהו שרי, ואינו שייך ביטול קודם זמן האיסור, כדתניא בנדרים, ומייתי לה בפרק נערה המאורסה, אם מטבילין כלי טמא ליטהר יטבילו כלי לכשיטמא לטהר. אלמא דדבר פשוט הוא שאינו מועיל לכלי טהור טבילה הואיל שעדיין לא קיבל טומאה, הכא נמי הואיל שעדיין לפני הפסח תרווייהו מותרים וכי יש לבטל קודם הפסח בששים בשאינו מינו שיהא מותר לכשיבא זמן איסורו בפסח שאסרו בשאינו מינו אפילו במשהו. ואיסור מטומאה ילפינן להחמיר.</w:t>
      </w:r>
      <w:r w:rsidRPr="00381500">
        <w:rPr>
          <w:rFonts w:hint="cs"/>
          <w:sz w:val="22"/>
          <w:szCs w:val="22"/>
          <w:rtl/>
        </w:rPr>
        <w:t xml:space="preserve">.. </w:t>
      </w:r>
      <w:r w:rsidRPr="00381500">
        <w:rPr>
          <w:sz w:val="22"/>
          <w:szCs w:val="22"/>
          <w:rtl/>
        </w:rPr>
        <w:t>והכי נמי הכא, א</w:t>
      </w:r>
      <w:r w:rsidRPr="00381500">
        <w:rPr>
          <w:rFonts w:hint="cs"/>
          <w:sz w:val="22"/>
          <w:szCs w:val="22"/>
          <w:rtl/>
        </w:rPr>
        <w:t>ע"פ</w:t>
      </w:r>
      <w:r w:rsidRPr="00381500">
        <w:rPr>
          <w:sz w:val="22"/>
          <w:szCs w:val="22"/>
          <w:rtl/>
        </w:rPr>
        <w:t xml:space="preserve"> שנתבטל בשאינו מינו השכר ביין קודם הפסח, כשיבוא פסח, שאסרו חכמים אפי</w:t>
      </w:r>
      <w:r w:rsidRPr="00381500">
        <w:rPr>
          <w:rFonts w:hint="cs"/>
          <w:sz w:val="22"/>
          <w:szCs w:val="22"/>
          <w:rtl/>
        </w:rPr>
        <w:t>'</w:t>
      </w:r>
      <w:r w:rsidRPr="00381500">
        <w:rPr>
          <w:sz w:val="22"/>
          <w:szCs w:val="22"/>
          <w:rtl/>
        </w:rPr>
        <w:t xml:space="preserve"> בשאינו מינו במשהו, וניעור, אסור.</w:t>
      </w:r>
    </w:p>
    <w:p w:rsidR="00381500" w:rsidRPr="00381500" w:rsidRDefault="00381500" w:rsidP="00381500">
      <w:pPr>
        <w:pStyle w:val="1"/>
        <w:rPr>
          <w:rFonts w:hint="cs"/>
          <w:rtl/>
        </w:rPr>
      </w:pPr>
      <w:r w:rsidRPr="00381500">
        <w:rPr>
          <w:rFonts w:hint="cs"/>
          <w:rtl/>
        </w:rPr>
        <w:t>שו"ת הרדב"ז (ח"ו סי' באלפים רכט)</w:t>
      </w:r>
    </w:p>
    <w:p w:rsidR="00381500" w:rsidRPr="00381500" w:rsidRDefault="00381500" w:rsidP="00381500">
      <w:pPr>
        <w:spacing w:line="276" w:lineRule="auto"/>
        <w:rPr>
          <w:rFonts w:hint="cs"/>
          <w:b/>
          <w:bCs/>
          <w:sz w:val="22"/>
          <w:szCs w:val="22"/>
          <w:rtl/>
        </w:rPr>
      </w:pPr>
      <w:r w:rsidRPr="00381500">
        <w:rPr>
          <w:sz w:val="22"/>
          <w:szCs w:val="22"/>
          <w:rtl/>
        </w:rPr>
        <w:t>וסברא גדולה יש לאומרים חו</w:t>
      </w:r>
      <w:r w:rsidRPr="00381500">
        <w:rPr>
          <w:rFonts w:hint="cs"/>
          <w:sz w:val="22"/>
          <w:szCs w:val="22"/>
          <w:rtl/>
        </w:rPr>
        <w:t>"</w:t>
      </w:r>
      <w:r w:rsidRPr="00381500">
        <w:rPr>
          <w:sz w:val="22"/>
          <w:szCs w:val="22"/>
          <w:rtl/>
        </w:rPr>
        <w:t>נ כיון שבשעה שנתערב היה הכל היתר לא שייך לומר נתבטל דבאיזה זמן נעשה החמץ אסור בזמן שנכנס הפסח ובאותו זמן הרי איסור בכל שהוא ולפיכך חו</w:t>
      </w:r>
      <w:r w:rsidRPr="00381500">
        <w:rPr>
          <w:rFonts w:hint="cs"/>
          <w:sz w:val="22"/>
          <w:szCs w:val="22"/>
          <w:rtl/>
        </w:rPr>
        <w:t>"</w:t>
      </w:r>
      <w:r w:rsidRPr="00381500">
        <w:rPr>
          <w:sz w:val="22"/>
          <w:szCs w:val="22"/>
          <w:rtl/>
        </w:rPr>
        <w:t>נ בשעה שמגיע זמן איסורו ודו"ק ותשכח</w:t>
      </w:r>
      <w:r w:rsidRPr="00381500">
        <w:rPr>
          <w:rFonts w:hint="cs"/>
          <w:sz w:val="22"/>
          <w:szCs w:val="22"/>
          <w:rtl/>
        </w:rPr>
        <w:t>.</w:t>
      </w:r>
    </w:p>
    <w:p w:rsidR="00381500" w:rsidRPr="00381500" w:rsidRDefault="00381500" w:rsidP="00381500">
      <w:pPr>
        <w:pStyle w:val="1"/>
        <w:rPr>
          <w:rFonts w:hint="cs"/>
          <w:rtl/>
        </w:rPr>
      </w:pPr>
      <w:r w:rsidRPr="00381500">
        <w:rPr>
          <w:rFonts w:hint="cs"/>
          <w:rtl/>
        </w:rPr>
        <w:lastRenderedPageBreak/>
        <w:t>שו"ת תרה"ד (ח"א סי' קיד)</w:t>
      </w:r>
    </w:p>
    <w:p w:rsidR="00381500" w:rsidRPr="00381500" w:rsidRDefault="00381500" w:rsidP="00381500">
      <w:pPr>
        <w:spacing w:line="276" w:lineRule="auto"/>
        <w:rPr>
          <w:rFonts w:hint="cs"/>
          <w:sz w:val="22"/>
          <w:szCs w:val="22"/>
          <w:rtl/>
        </w:rPr>
      </w:pPr>
      <w:r w:rsidRPr="00381500">
        <w:rPr>
          <w:sz w:val="22"/>
          <w:szCs w:val="22"/>
          <w:rtl/>
        </w:rPr>
        <w:t>נוהגים בכמה מקומות שרוב בני אדם בוררים החיטים לצורך המצות לפסח, אבל לא בדיוק כלל. אך מרקדין אותו היטב ובודקים ובוררים בעיונא בעלמא מידה גדולה בשעה אחת או בשתים. יש טעם למנהג זה או לאו</w:t>
      </w:r>
      <w:r w:rsidRPr="00381500">
        <w:rPr>
          <w:rFonts w:hint="cs"/>
          <w:sz w:val="22"/>
          <w:szCs w:val="22"/>
          <w:rtl/>
        </w:rPr>
        <w:t xml:space="preserve">. </w:t>
      </w:r>
      <w:r w:rsidRPr="00381500">
        <w:rPr>
          <w:sz w:val="22"/>
          <w:szCs w:val="22"/>
          <w:rtl/>
        </w:rPr>
        <w:t>יראה דיש טעם וסעד לדבר למנהג הזה. דכתב בסמ"ק שנוהגים בהרבה מקומות לברור החיטים מאותם הנישוכים מאכילת עכברים. וכתב עוד שאם נמצאו חטים בתוך הכרי שצמחו מלחלוחית הארץ, שקורין גירמי"ר, שאינם בטלים אפי' נטחן קודם הפסח, כיון שהוא יבש יהיב טעמא בשעת אפייה בערב פסח בששים, בפסח במשהו ע"כ. ובטור א"ח כתב דשפיר מתבטל קודם הפסח, ולא חשיב מבטל איסור לכתח</w:t>
      </w:r>
      <w:r w:rsidRPr="00381500">
        <w:rPr>
          <w:rFonts w:hint="cs"/>
          <w:sz w:val="22"/>
          <w:szCs w:val="22"/>
          <w:rtl/>
        </w:rPr>
        <w:t>'</w:t>
      </w:r>
      <w:r w:rsidRPr="00381500">
        <w:rPr>
          <w:sz w:val="22"/>
          <w:szCs w:val="22"/>
          <w:rtl/>
        </w:rPr>
        <w:t xml:space="preserve"> כיון שאינו מכוין לבטלו ע"כ. ומהשתא נראה א</w:t>
      </w:r>
      <w:r w:rsidRPr="00381500">
        <w:rPr>
          <w:rFonts w:hint="cs"/>
          <w:sz w:val="22"/>
          <w:szCs w:val="22"/>
          <w:rtl/>
        </w:rPr>
        <w:t>ע"ג</w:t>
      </w:r>
      <w:r w:rsidRPr="00381500">
        <w:rPr>
          <w:sz w:val="22"/>
          <w:szCs w:val="22"/>
          <w:rtl/>
        </w:rPr>
        <w:t xml:space="preserve"> דאין מדקדקים כ"כ בברירה, מ"מ מנהג של טעם הוא, דסמכינן אסמ"ג דכתב במצות חלב, דקמח בקמח מתערב יפה, דמיקרי עירוב לח בלח, כמו שהוכיחו בהוכחה גמורה ממס' מנחות. וכן משמע פ' אלו עוברים גבי שתי קופות, והיינו כדברי א"ח. ובלח מנהג פשוט להתיר מה שיתבטל קודם הפסח, ולא אמרינן דחוזר וניעור בפסח. מ"מ צריך לברור בעיונא בעלמא, כדי לראות שאין בתוך הכלי כ"כ הרבה יותר מא' בששים שיתבטל. וגם הברירה מוכחת שאין מתכוין לבטלה, ולא הוי כמבטל איסור לכתחילה.</w:t>
      </w:r>
    </w:p>
    <w:p w:rsidR="00381500" w:rsidRPr="00381500" w:rsidRDefault="00381500" w:rsidP="00381500">
      <w:pPr>
        <w:pStyle w:val="1"/>
        <w:rPr>
          <w:rFonts w:hint="cs"/>
          <w:rtl/>
        </w:rPr>
      </w:pPr>
      <w:r w:rsidRPr="00381500">
        <w:rPr>
          <w:rFonts w:hint="cs"/>
          <w:rtl/>
        </w:rPr>
        <w:t>לבוש (סע' ב)</w:t>
      </w:r>
    </w:p>
    <w:p w:rsidR="00381500" w:rsidRPr="00381500" w:rsidRDefault="00381500" w:rsidP="00381500">
      <w:pPr>
        <w:spacing w:line="276" w:lineRule="auto"/>
        <w:rPr>
          <w:rFonts w:hint="cs"/>
          <w:sz w:val="22"/>
          <w:szCs w:val="22"/>
          <w:rtl/>
        </w:rPr>
      </w:pPr>
      <w:r w:rsidRPr="00381500">
        <w:rPr>
          <w:rFonts w:hint="cs"/>
          <w:sz w:val="22"/>
          <w:szCs w:val="22"/>
          <w:rtl/>
        </w:rPr>
        <w:t>...</w:t>
      </w:r>
      <w:r w:rsidRPr="00381500">
        <w:rPr>
          <w:sz w:val="22"/>
          <w:szCs w:val="22"/>
          <w:rtl/>
        </w:rPr>
        <w:t>ואם נתערב בשוגג קודם הפסח ואפי</w:t>
      </w:r>
      <w:r w:rsidRPr="00381500">
        <w:rPr>
          <w:rFonts w:hint="cs"/>
          <w:sz w:val="22"/>
          <w:szCs w:val="22"/>
          <w:rtl/>
        </w:rPr>
        <w:t>'</w:t>
      </w:r>
      <w:r w:rsidRPr="00381500">
        <w:rPr>
          <w:sz w:val="22"/>
          <w:szCs w:val="22"/>
          <w:rtl/>
        </w:rPr>
        <w:t xml:space="preserve"> בערב פסח אחר שש ונתבטל בששים או בטעמא דנותן טעם לפגם, מותר לאוכלו אפי</w:t>
      </w:r>
      <w:r w:rsidRPr="00381500">
        <w:rPr>
          <w:rFonts w:hint="cs"/>
          <w:sz w:val="22"/>
          <w:szCs w:val="22"/>
          <w:rtl/>
        </w:rPr>
        <w:t>'</w:t>
      </w:r>
      <w:r w:rsidRPr="00381500">
        <w:rPr>
          <w:sz w:val="22"/>
          <w:szCs w:val="22"/>
          <w:rtl/>
        </w:rPr>
        <w:t xml:space="preserve"> בתוך הפסח, דהואיל ונתבטל כבר אינו חו</w:t>
      </w:r>
      <w:r w:rsidRPr="00381500">
        <w:rPr>
          <w:rFonts w:hint="cs"/>
          <w:sz w:val="22"/>
          <w:szCs w:val="22"/>
          <w:rtl/>
        </w:rPr>
        <w:t>"נ</w:t>
      </w:r>
      <w:r w:rsidRPr="00381500">
        <w:rPr>
          <w:sz w:val="22"/>
          <w:szCs w:val="22"/>
          <w:rtl/>
        </w:rPr>
        <w:t>. והני מילי בדבר שנתערב יפה יפה ולא ניכר החמץ כלל, כגון לח בלח, או אפי</w:t>
      </w:r>
      <w:r w:rsidRPr="00381500">
        <w:rPr>
          <w:rFonts w:hint="cs"/>
          <w:sz w:val="22"/>
          <w:szCs w:val="22"/>
          <w:rtl/>
        </w:rPr>
        <w:t>'</w:t>
      </w:r>
      <w:r w:rsidRPr="00381500">
        <w:rPr>
          <w:sz w:val="22"/>
          <w:szCs w:val="22"/>
          <w:rtl/>
        </w:rPr>
        <w:t xml:space="preserve"> קמח בקמח שמתערב יפה יפה, אבל אם החמץ בעין ומינכר, כגון פת שנפל ליין, א</w:t>
      </w:r>
      <w:r w:rsidRPr="00381500">
        <w:rPr>
          <w:rFonts w:hint="cs"/>
          <w:sz w:val="22"/>
          <w:szCs w:val="22"/>
          <w:rtl/>
        </w:rPr>
        <w:t>ע"פ</w:t>
      </w:r>
      <w:r w:rsidRPr="00381500">
        <w:rPr>
          <w:sz w:val="22"/>
          <w:szCs w:val="22"/>
          <w:rtl/>
        </w:rPr>
        <w:t xml:space="preserve"> שנטלו משם יש לחוש שמא פרורין נשארו ונותנין טעם בפסח ואסור</w:t>
      </w:r>
      <w:r w:rsidRPr="00381500">
        <w:rPr>
          <w:rFonts w:hint="cs"/>
          <w:sz w:val="22"/>
          <w:szCs w:val="22"/>
          <w:rtl/>
        </w:rPr>
        <w:t>.</w:t>
      </w:r>
    </w:p>
    <w:p w:rsidR="00381500" w:rsidRPr="00381500" w:rsidRDefault="00381500" w:rsidP="00381500">
      <w:pPr>
        <w:pStyle w:val="1"/>
        <w:rPr>
          <w:rFonts w:hint="cs"/>
          <w:rtl/>
        </w:rPr>
      </w:pPr>
      <w:r w:rsidRPr="00381500">
        <w:rPr>
          <w:rFonts w:hint="cs"/>
          <w:rtl/>
        </w:rPr>
        <w:t>אליה רבה (סי' תמז ס"ק יא)</w:t>
      </w:r>
    </w:p>
    <w:p w:rsidR="00DE3E66" w:rsidRPr="00381500" w:rsidRDefault="00381500" w:rsidP="00381500">
      <w:pPr>
        <w:spacing w:line="276" w:lineRule="auto"/>
        <w:rPr>
          <w:sz w:val="22"/>
          <w:szCs w:val="22"/>
        </w:rPr>
      </w:pPr>
      <w:r w:rsidRPr="00381500">
        <w:rPr>
          <w:sz w:val="22"/>
          <w:szCs w:val="22"/>
          <w:rtl/>
        </w:rPr>
        <w:t>ונותנים טעם וכו'</w:t>
      </w:r>
      <w:r w:rsidRPr="00381500">
        <w:rPr>
          <w:rFonts w:hint="cs"/>
          <w:sz w:val="22"/>
          <w:szCs w:val="22"/>
          <w:rtl/>
        </w:rPr>
        <w:t>-</w:t>
      </w:r>
      <w:r w:rsidRPr="00381500">
        <w:rPr>
          <w:sz w:val="22"/>
          <w:szCs w:val="22"/>
          <w:rtl/>
        </w:rPr>
        <w:t xml:space="preserve"> פירוש </w:t>
      </w:r>
      <w:r w:rsidRPr="00381500">
        <w:rPr>
          <w:b/>
          <w:bCs/>
          <w:sz w:val="22"/>
          <w:szCs w:val="22"/>
          <w:rtl/>
        </w:rPr>
        <w:t>הן ע"י חימום והן ע"י כבוש</w:t>
      </w:r>
      <w:r w:rsidRPr="00381500">
        <w:rPr>
          <w:sz w:val="22"/>
          <w:szCs w:val="22"/>
          <w:rtl/>
        </w:rPr>
        <w:t>, ולמ"ד דבצונן נותן טעם, אפי</w:t>
      </w:r>
      <w:r w:rsidRPr="00381500">
        <w:rPr>
          <w:rFonts w:hint="cs"/>
          <w:sz w:val="22"/>
          <w:szCs w:val="22"/>
          <w:rtl/>
        </w:rPr>
        <w:t>'</w:t>
      </w:r>
      <w:r w:rsidRPr="00381500">
        <w:rPr>
          <w:sz w:val="22"/>
          <w:szCs w:val="22"/>
          <w:rtl/>
        </w:rPr>
        <w:t xml:space="preserve"> בלא כבוש אסור. </w:t>
      </w:r>
      <w:r w:rsidRPr="00381500">
        <w:rPr>
          <w:b/>
          <w:bCs/>
          <w:sz w:val="22"/>
          <w:szCs w:val="22"/>
          <w:rtl/>
        </w:rPr>
        <w:t>ומשמע כל שאין נותן טעם אף שיש ממשות שם אין חו</w:t>
      </w:r>
      <w:r w:rsidRPr="00381500">
        <w:rPr>
          <w:rFonts w:hint="cs"/>
          <w:b/>
          <w:bCs/>
          <w:sz w:val="22"/>
          <w:szCs w:val="22"/>
          <w:rtl/>
        </w:rPr>
        <w:t>"נ</w:t>
      </w:r>
      <w:r w:rsidRPr="00381500">
        <w:rPr>
          <w:b/>
          <w:bCs/>
          <w:sz w:val="22"/>
          <w:szCs w:val="22"/>
          <w:rtl/>
        </w:rPr>
        <w:t>, וכן משמע בעו</w:t>
      </w:r>
      <w:r w:rsidRPr="00381500">
        <w:rPr>
          <w:rFonts w:hint="cs"/>
          <w:b/>
          <w:bCs/>
          <w:sz w:val="22"/>
          <w:szCs w:val="22"/>
          <w:rtl/>
        </w:rPr>
        <w:t>"ש</w:t>
      </w:r>
      <w:r w:rsidRPr="00381500">
        <w:rPr>
          <w:sz w:val="22"/>
          <w:szCs w:val="22"/>
          <w:rtl/>
        </w:rPr>
        <w:t xml:space="preserve">. </w:t>
      </w:r>
      <w:r w:rsidRPr="00381500">
        <w:rPr>
          <w:b/>
          <w:bCs/>
          <w:sz w:val="22"/>
          <w:szCs w:val="22"/>
          <w:rtl/>
        </w:rPr>
        <w:t>ואף דלמ"ד דחו</w:t>
      </w:r>
      <w:r w:rsidRPr="00381500">
        <w:rPr>
          <w:rFonts w:hint="cs"/>
          <w:b/>
          <w:bCs/>
          <w:sz w:val="22"/>
          <w:szCs w:val="22"/>
          <w:rtl/>
        </w:rPr>
        <w:t>"נ</w:t>
      </w:r>
      <w:r w:rsidRPr="00381500">
        <w:rPr>
          <w:b/>
          <w:bCs/>
          <w:sz w:val="22"/>
          <w:szCs w:val="22"/>
          <w:rtl/>
        </w:rPr>
        <w:t xml:space="preserve"> משמע דאסור אף באין נותן טעם כגון יבש ביבש שנתערב קודם פסח, מ"מ דעת הלבוש ורמ"א דמ"ד דאין חו</w:t>
      </w:r>
      <w:r w:rsidRPr="00381500">
        <w:rPr>
          <w:rFonts w:hint="cs"/>
          <w:b/>
          <w:bCs/>
          <w:sz w:val="22"/>
          <w:szCs w:val="22"/>
          <w:rtl/>
        </w:rPr>
        <w:t>"נ</w:t>
      </w:r>
      <w:r w:rsidRPr="00381500">
        <w:rPr>
          <w:b/>
          <w:bCs/>
          <w:sz w:val="22"/>
          <w:szCs w:val="22"/>
          <w:rtl/>
        </w:rPr>
        <w:t xml:space="preserve"> מתיר בזה דאין נותן טעם, ומכריעין כוותייהו בזה.</w:t>
      </w:r>
      <w:r w:rsidRPr="00381500">
        <w:rPr>
          <w:sz w:val="22"/>
          <w:szCs w:val="22"/>
          <w:rtl/>
        </w:rPr>
        <w:t xml:space="preserve"> וכן משמע מתשובת רשב"א סי</w:t>
      </w:r>
      <w:r w:rsidRPr="00381500">
        <w:rPr>
          <w:rFonts w:hint="cs"/>
          <w:sz w:val="22"/>
          <w:szCs w:val="22"/>
          <w:rtl/>
        </w:rPr>
        <w:t>'</w:t>
      </w:r>
      <w:r w:rsidRPr="00381500">
        <w:rPr>
          <w:sz w:val="22"/>
          <w:szCs w:val="22"/>
          <w:rtl/>
        </w:rPr>
        <w:t xml:space="preserve"> תפה שכתב גבי דין דיבש ביבש דלדעת הגאונים אסור וכו', משמע דלמ"ד דאין חו</w:t>
      </w:r>
      <w:r w:rsidRPr="00381500">
        <w:rPr>
          <w:rFonts w:hint="cs"/>
          <w:sz w:val="22"/>
          <w:szCs w:val="22"/>
          <w:rtl/>
        </w:rPr>
        <w:t>"נ</w:t>
      </w:r>
      <w:r w:rsidRPr="00381500">
        <w:rPr>
          <w:sz w:val="22"/>
          <w:szCs w:val="22"/>
          <w:rtl/>
        </w:rPr>
        <w:t xml:space="preserve"> גם בזה מותר עי"ש ודו"ק. וכן משמע בשיירי כנה</w:t>
      </w:r>
      <w:r w:rsidRPr="00381500">
        <w:rPr>
          <w:rFonts w:hint="cs"/>
          <w:sz w:val="22"/>
          <w:szCs w:val="22"/>
          <w:rtl/>
        </w:rPr>
        <w:t>"</w:t>
      </w:r>
      <w:r w:rsidRPr="00381500">
        <w:rPr>
          <w:sz w:val="22"/>
          <w:szCs w:val="22"/>
          <w:rtl/>
        </w:rPr>
        <w:t>ג</w:t>
      </w:r>
      <w:r w:rsidRPr="00381500">
        <w:rPr>
          <w:rFonts w:hint="cs"/>
          <w:sz w:val="22"/>
          <w:szCs w:val="22"/>
          <w:rtl/>
        </w:rPr>
        <w:t>.</w:t>
      </w:r>
      <w:r w:rsidRPr="00381500">
        <w:rPr>
          <w:sz w:val="22"/>
          <w:szCs w:val="22"/>
          <w:rtl/>
        </w:rPr>
        <w:t xml:space="preserve"> </w:t>
      </w:r>
      <w:r w:rsidRPr="00381500">
        <w:rPr>
          <w:b/>
          <w:bCs/>
          <w:sz w:val="22"/>
          <w:szCs w:val="22"/>
          <w:rtl/>
        </w:rPr>
        <w:t>וא"כ יבש ביבש דבטל חד בתרי קודם פסח כל זמן שאין מבשלו בפסח אין איסור</w:t>
      </w:r>
      <w:r w:rsidRPr="00381500">
        <w:rPr>
          <w:sz w:val="22"/>
          <w:szCs w:val="22"/>
          <w:rtl/>
        </w:rPr>
        <w:t>. ולפ"ז מש</w:t>
      </w:r>
      <w:r w:rsidRPr="00381500">
        <w:rPr>
          <w:rFonts w:hint="cs"/>
          <w:sz w:val="22"/>
          <w:szCs w:val="22"/>
          <w:rtl/>
        </w:rPr>
        <w:t>"</w:t>
      </w:r>
      <w:r w:rsidRPr="00381500">
        <w:rPr>
          <w:sz w:val="22"/>
          <w:szCs w:val="22"/>
          <w:rtl/>
        </w:rPr>
        <w:t xml:space="preserve">כ רמ"א בדבר יבש שנתערב, מיירי נמי בשנתן טעם בפסח וסמך אסוף דבריו, </w:t>
      </w:r>
      <w:r w:rsidRPr="00381500">
        <w:rPr>
          <w:b/>
          <w:bCs/>
          <w:sz w:val="22"/>
          <w:szCs w:val="22"/>
          <w:rtl/>
        </w:rPr>
        <w:t>ודלא כמג"א [ס"ק יא] שכתב דאסור אפי</w:t>
      </w:r>
      <w:r w:rsidRPr="00381500">
        <w:rPr>
          <w:rFonts w:hint="cs"/>
          <w:b/>
          <w:bCs/>
          <w:sz w:val="22"/>
          <w:szCs w:val="22"/>
          <w:rtl/>
        </w:rPr>
        <w:t>'</w:t>
      </w:r>
      <w:r w:rsidRPr="00381500">
        <w:rPr>
          <w:b/>
          <w:bCs/>
          <w:sz w:val="22"/>
          <w:szCs w:val="22"/>
          <w:rtl/>
        </w:rPr>
        <w:t xml:space="preserve"> לקיימו, והבין כך מש</w:t>
      </w:r>
      <w:r w:rsidRPr="00381500">
        <w:rPr>
          <w:rFonts w:hint="cs"/>
          <w:b/>
          <w:bCs/>
          <w:sz w:val="22"/>
          <w:szCs w:val="22"/>
          <w:rtl/>
        </w:rPr>
        <w:t>"</w:t>
      </w:r>
      <w:r w:rsidRPr="00381500">
        <w:rPr>
          <w:b/>
          <w:bCs/>
          <w:sz w:val="22"/>
          <w:szCs w:val="22"/>
          <w:rtl/>
        </w:rPr>
        <w:t>כ רמ"א [ס"ד] בדבר יבש וכו', ולענ"ד כדפירשתי</w:t>
      </w:r>
      <w:r w:rsidRPr="00381500">
        <w:rPr>
          <w:sz w:val="22"/>
          <w:szCs w:val="22"/>
          <w:rtl/>
        </w:rPr>
        <w:t>.</w:t>
      </w:r>
      <w:r w:rsidRPr="00381500">
        <w:rPr>
          <w:rFonts w:hint="cs"/>
          <w:sz w:val="22"/>
          <w:szCs w:val="22"/>
          <w:rtl/>
        </w:rPr>
        <w:t>..</w:t>
      </w:r>
    </w:p>
    <w:sectPr w:rsidR="00DE3E66" w:rsidRPr="00381500" w:rsidSect="00381500">
      <w:pgSz w:w="11906" w:h="16838"/>
      <w:pgMar w:top="1440" w:right="1800" w:bottom="1440" w:left="1800" w:header="708" w:footer="708" w:gutter="0"/>
      <w:cols w:num="2" w:space="454"/>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F44" w:rsidRDefault="00936F44" w:rsidP="00381500">
      <w:pPr>
        <w:spacing w:line="240" w:lineRule="auto"/>
      </w:pPr>
      <w:r>
        <w:separator/>
      </w:r>
    </w:p>
  </w:endnote>
  <w:endnote w:type="continuationSeparator" w:id="1">
    <w:p w:rsidR="00936F44" w:rsidRDefault="00936F44" w:rsidP="003815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F44" w:rsidRDefault="00936F44" w:rsidP="00381500">
      <w:pPr>
        <w:spacing w:line="240" w:lineRule="auto"/>
      </w:pPr>
      <w:r>
        <w:separator/>
      </w:r>
    </w:p>
  </w:footnote>
  <w:footnote w:type="continuationSeparator" w:id="1">
    <w:p w:rsidR="00936F44" w:rsidRDefault="00936F44" w:rsidP="0038150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81500"/>
    <w:rsid w:val="00381500"/>
    <w:rsid w:val="005755C7"/>
    <w:rsid w:val="006402D7"/>
    <w:rsid w:val="00936F44"/>
    <w:rsid w:val="00DE3E66"/>
    <w:rsid w:val="00F45D4A"/>
    <w:rsid w:val="00F7358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00"/>
    <w:pPr>
      <w:bidi/>
      <w:spacing w:after="0" w:line="360" w:lineRule="auto"/>
      <w:jc w:val="both"/>
    </w:pPr>
    <w:rPr>
      <w:rFonts w:ascii="Times New Roman" w:eastAsia="Times New Roman" w:hAnsi="Times New Roman" w:cs="Narkisim"/>
      <w:sz w:val="24"/>
      <w:szCs w:val="24"/>
    </w:rPr>
  </w:style>
  <w:style w:type="paragraph" w:styleId="1">
    <w:name w:val="heading 1"/>
    <w:basedOn w:val="a"/>
    <w:next w:val="a"/>
    <w:link w:val="10"/>
    <w:uiPriority w:val="9"/>
    <w:qFormat/>
    <w:rsid w:val="00381500"/>
    <w:pPr>
      <w:keepNext/>
      <w:spacing w:line="276" w:lineRule="auto"/>
      <w:jc w:val="center"/>
      <w:outlineLvl w:val="0"/>
    </w:pPr>
    <w:rPr>
      <w:rFonts w:cs="Guttman Keren"/>
      <w:b/>
      <w:bCs/>
      <w:sz w:val="20"/>
      <w:szCs w:val="20"/>
    </w:rPr>
  </w:style>
  <w:style w:type="paragraph" w:styleId="3">
    <w:name w:val="heading 3"/>
    <w:basedOn w:val="a"/>
    <w:next w:val="a"/>
    <w:link w:val="30"/>
    <w:uiPriority w:val="9"/>
    <w:semiHidden/>
    <w:unhideWhenUsed/>
    <w:qFormat/>
    <w:rsid w:val="003815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qFormat/>
    <w:rsid w:val="00381500"/>
    <w:pPr>
      <w:keepLines w:val="0"/>
      <w:spacing w:before="0"/>
      <w:outlineLvl w:val="3"/>
    </w:pPr>
    <w:rPr>
      <w:rFonts w:ascii="Arial" w:eastAsia="Times New Roman" w:hAnsi="Arial" w:cs="Narkisim"/>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381500"/>
    <w:rPr>
      <w:rFonts w:ascii="Arial" w:eastAsia="Times New Roman" w:hAnsi="Arial" w:cs="Narkisim"/>
      <w:b/>
      <w:bCs/>
      <w:sz w:val="28"/>
      <w:szCs w:val="28"/>
    </w:rPr>
  </w:style>
  <w:style w:type="paragraph" w:styleId="a3">
    <w:name w:val="footnote text"/>
    <w:basedOn w:val="a"/>
    <w:link w:val="a4"/>
    <w:rsid w:val="00381500"/>
    <w:rPr>
      <w:sz w:val="20"/>
      <w:szCs w:val="20"/>
    </w:rPr>
  </w:style>
  <w:style w:type="character" w:customStyle="1" w:styleId="a4">
    <w:name w:val="טקסט הערת שוליים תו"/>
    <w:basedOn w:val="a0"/>
    <w:link w:val="a3"/>
    <w:rsid w:val="00381500"/>
    <w:rPr>
      <w:rFonts w:ascii="Times New Roman" w:eastAsia="Times New Roman" w:hAnsi="Times New Roman" w:cs="Narkisim"/>
      <w:sz w:val="20"/>
      <w:szCs w:val="20"/>
    </w:rPr>
  </w:style>
  <w:style w:type="character" w:styleId="a5">
    <w:name w:val="footnote reference"/>
    <w:basedOn w:val="a0"/>
    <w:rsid w:val="00381500"/>
    <w:rPr>
      <w:vertAlign w:val="superscript"/>
    </w:rPr>
  </w:style>
  <w:style w:type="character" w:customStyle="1" w:styleId="30">
    <w:name w:val="כותרת 3 תו"/>
    <w:basedOn w:val="a0"/>
    <w:link w:val="3"/>
    <w:uiPriority w:val="9"/>
    <w:semiHidden/>
    <w:rsid w:val="00381500"/>
    <w:rPr>
      <w:rFonts w:asciiTheme="majorHAnsi" w:eastAsiaTheme="majorEastAsia" w:hAnsiTheme="majorHAnsi" w:cstheme="majorBidi"/>
      <w:b/>
      <w:bCs/>
      <w:color w:val="4F81BD" w:themeColor="accent1"/>
      <w:sz w:val="24"/>
      <w:szCs w:val="24"/>
    </w:rPr>
  </w:style>
  <w:style w:type="character" w:customStyle="1" w:styleId="10">
    <w:name w:val="כותרת 1 תו"/>
    <w:basedOn w:val="a0"/>
    <w:link w:val="1"/>
    <w:uiPriority w:val="9"/>
    <w:rsid w:val="00381500"/>
    <w:rPr>
      <w:rFonts w:ascii="Times New Roman" w:eastAsia="Times New Roman" w:hAnsi="Times New Roman" w:cs="Guttman Kere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701</Words>
  <Characters>3510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ברנר גיורא</dc:creator>
  <cp:lastModifiedBy>ברנר גיורא</cp:lastModifiedBy>
  <cp:revision>1</cp:revision>
  <dcterms:created xsi:type="dcterms:W3CDTF">2015-11-01T16:22:00Z</dcterms:created>
  <dcterms:modified xsi:type="dcterms:W3CDTF">2015-11-01T20:26:00Z</dcterms:modified>
</cp:coreProperties>
</file>