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D3609" w14:textId="77777777" w:rsidR="000C754B" w:rsidRPr="000C754B" w:rsidRDefault="000C754B" w:rsidP="000C754B">
      <w:pPr>
        <w:spacing w:after="160" w:line="360" w:lineRule="auto"/>
        <w:jc w:val="center"/>
        <w:rPr>
          <w:rFonts w:ascii="Calibri" w:eastAsia="Calibri" w:hAnsi="Calibri" w:cs="David"/>
          <w:sz w:val="26"/>
          <w:szCs w:val="28"/>
          <w:rtl/>
        </w:rPr>
      </w:pPr>
      <w:r w:rsidRPr="000C754B">
        <w:rPr>
          <w:rFonts w:ascii="Calibri" w:eastAsia="Calibri" w:hAnsi="Calibri" w:cs="David" w:hint="cs"/>
          <w:sz w:val="26"/>
          <w:szCs w:val="28"/>
          <w:rtl/>
        </w:rPr>
        <w:t>א. ארבע פרשיות</w:t>
      </w:r>
    </w:p>
    <w:p w14:paraId="13BEDDB3"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עוד לפני שנקבע המנהג לגמור את התורה בשנה, כלומר סדר קריאת התורה כפי שאנחנו רגילים היום, תקנו חז"ל לקרוא ארבע פרשיות בחודש אדר (או שבת אחרונה של שבט וראשונה של ניסן) ואלו הן: 'שקלים'- עוסקת במצות מחצית השקל, 'זכור'- עוסקת במצות מחיית עמלק, 'פרה'- עוסקת במצות פרה אדומה, 'החודש'- עוסקת במצות קרבן פסח1.</w:t>
      </w:r>
    </w:p>
    <w:p w14:paraId="1C4BDB1F"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בגמרא נחלקו האמוראים האם בשבת בה קוראים את אחת מארבע הפרשיות קוראים גם את הקריאה הרגילה, להלכה נפסק שקוראים2.</w:t>
      </w:r>
    </w:p>
    <w:p w14:paraId="2521E57E"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הראשונים חלוקים בשאלה אחרת. מעיקר הדין ישנם רק שבעה עולים לתורה, באופן שהעולה שביעי הוא המפטיר, אך כידוע המנהג אינו כך אלא למפטיר עולה אדם נוסף. מה הדין בארבע פרשיות?</w:t>
      </w:r>
    </w:p>
    <w:p w14:paraId="206DD337"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לדעת המאירי ובעל שיבולי הלקט, בפרשיות אלו יש לנהוג כעיקר הדין והעולה שביעי הוא הקורא את ההפטרה. אך לדעת רוב הראשונים וכך נפסק להלכה, גם בפרשיות אלו המפטיר אינו ממנין שבעת העולים3.</w:t>
      </w:r>
    </w:p>
    <w:p w14:paraId="304CA08D" w14:textId="77777777" w:rsidR="000C754B" w:rsidRDefault="000C754B" w:rsidP="000C754B">
      <w:pPr>
        <w:rPr>
          <w:rtl/>
        </w:rPr>
      </w:pPr>
    </w:p>
    <w:p w14:paraId="06B80436" w14:textId="77777777" w:rsidR="000C754B" w:rsidRPr="000C754B" w:rsidRDefault="000C754B" w:rsidP="000C754B">
      <w:pPr>
        <w:spacing w:after="160" w:line="360" w:lineRule="auto"/>
        <w:jc w:val="center"/>
        <w:rPr>
          <w:rFonts w:ascii="Calibri" w:eastAsia="Calibri" w:hAnsi="Calibri" w:cs="David"/>
          <w:sz w:val="26"/>
          <w:szCs w:val="28"/>
          <w:rtl/>
        </w:rPr>
      </w:pPr>
      <w:r w:rsidRPr="000C754B">
        <w:rPr>
          <w:rFonts w:ascii="Calibri" w:eastAsia="Calibri" w:hAnsi="Calibri" w:cs="David" w:hint="cs"/>
          <w:sz w:val="26"/>
          <w:szCs w:val="28"/>
          <w:rtl/>
        </w:rPr>
        <w:t>ב. פרשת שקלים</w:t>
      </w:r>
    </w:p>
    <w:p w14:paraId="5C864DED"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בזמן שבית המקדש היה קיים היה כל אדם מישראל חייב לתת מחצית השקל בשביל קרבנות הציבור. זמן הגבייה נקבע לאדר מאחר ומראש חודש ניסן יש לקנות את קרבנות הציבור משקלים חדשים, שנאמר "זאת עולת חודש בחדשו" ודרשו חז"ל 'חדש והבא קרבן מתרומה חדשה'.</w:t>
      </w:r>
    </w:p>
    <w:p w14:paraId="276873C9" w14:textId="77777777" w:rsidR="000C754B" w:rsidRPr="000C754B" w:rsidRDefault="000C754B" w:rsidP="000C754B">
      <w:pPr>
        <w:spacing w:after="160" w:line="360" w:lineRule="auto"/>
        <w:jc w:val="both"/>
        <w:rPr>
          <w:rFonts w:ascii="Calibri" w:eastAsia="Calibri" w:hAnsi="Calibri" w:cs="David"/>
          <w:sz w:val="22"/>
          <w:rtl/>
        </w:rPr>
      </w:pPr>
      <w:r w:rsidRPr="000C754B">
        <w:rPr>
          <w:rFonts w:ascii="Calibri" w:eastAsia="Calibri" w:hAnsi="Calibri" w:cs="David" w:hint="cs"/>
          <w:sz w:val="22"/>
          <w:rtl/>
        </w:rPr>
        <w:t>לכן קבעו חכמים ש'באחד באדר משמיעים על השקלים' על מנת שיתחילו להתכונן ולהכין את השקלים למקדש4.</w:t>
      </w:r>
    </w:p>
    <w:p w14:paraId="6D2EB511" w14:textId="77777777" w:rsidR="000C754B" w:rsidRDefault="000C754B" w:rsidP="000C754B">
      <w:pPr>
        <w:spacing w:after="160" w:line="360" w:lineRule="auto"/>
        <w:jc w:val="both"/>
        <w:rPr>
          <w:rtl/>
        </w:rPr>
      </w:pPr>
      <w:r w:rsidRPr="000C754B">
        <w:rPr>
          <w:rFonts w:ascii="Calibri" w:eastAsia="Calibri" w:hAnsi="Calibri" w:cs="David" w:hint="cs"/>
          <w:sz w:val="22"/>
          <w:rtl/>
        </w:rPr>
        <w:t>זכר למקדש נוהגים לקרוא פרשת שקלים סמוך לראש חודש אדר (כלומר השבת האחרונה של שבט אלא אם כן ראש חודש אדר חל בשבת)5.</w:t>
      </w:r>
    </w:p>
    <w:p w14:paraId="33E53F38" w14:textId="77777777" w:rsidR="000C754B" w:rsidRDefault="000C754B" w:rsidP="000C754B">
      <w:pPr>
        <w:bidi w:val="0"/>
        <w:spacing w:line="259" w:lineRule="auto"/>
      </w:pPr>
      <w:r>
        <w:rPr>
          <w:rtl/>
        </w:rPr>
        <w:br w:type="page"/>
      </w:r>
    </w:p>
    <w:p w14:paraId="7CB70C80" w14:textId="77777777" w:rsidR="000C754B" w:rsidRPr="000C754B" w:rsidRDefault="000C754B" w:rsidP="000C754B">
      <w:pPr>
        <w:spacing w:after="160" w:line="360" w:lineRule="auto"/>
        <w:jc w:val="center"/>
        <w:rPr>
          <w:rFonts w:ascii="Calibri" w:eastAsia="Calibri" w:hAnsi="Calibri" w:cs="David" w:hint="cs"/>
          <w:b/>
          <w:bCs/>
          <w:szCs w:val="26"/>
          <w:rtl/>
        </w:rPr>
      </w:pPr>
      <w:r w:rsidRPr="000C754B">
        <w:rPr>
          <w:rFonts w:ascii="Calibri" w:eastAsia="Calibri" w:hAnsi="Calibri" w:cs="David" w:hint="cs"/>
          <w:b/>
          <w:bCs/>
          <w:szCs w:val="26"/>
          <w:rtl/>
        </w:rPr>
        <w:lastRenderedPageBreak/>
        <w:t>מקורות והערות</w:t>
      </w:r>
    </w:p>
    <w:p w14:paraId="15677D71"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 xml:space="preserve">1. כידוע הייתה חלוקת מנהגים בין בני בבל ובני ארץ ישראל לגבי קריאת התורה על הסדר. לשיטת בני ארץ ישראל המחזור של קריאת התורה היה באופן שמסיימים את כולה פעם בשלש שנים, מנהג בני בבל היה כמנהגנו לסיים את התורה בכל </w:t>
      </w:r>
      <w:commentRangeStart w:id="0"/>
      <w:r w:rsidRPr="000C754B">
        <w:rPr>
          <w:rFonts w:ascii="Arial" w:hAnsi="Arial" w:cs="Arial" w:hint="cs"/>
          <w:sz w:val="22"/>
          <w:szCs w:val="22"/>
          <w:rtl/>
          <w:lang w:eastAsia="he-IL"/>
        </w:rPr>
        <w:t>שנה</w:t>
      </w:r>
      <w:commentRangeEnd w:id="0"/>
      <w:r w:rsidRPr="000C754B">
        <w:rPr>
          <w:rFonts w:ascii="Arial" w:hAnsi="Arial" w:cs="Arial"/>
          <w:sz w:val="22"/>
          <w:szCs w:val="22"/>
          <w:rtl/>
          <w:lang w:eastAsia="he-IL"/>
        </w:rPr>
        <w:commentReference w:id="0"/>
      </w:r>
      <w:r w:rsidRPr="000C754B">
        <w:rPr>
          <w:rFonts w:ascii="Arial" w:hAnsi="Arial" w:cs="Arial" w:hint="cs"/>
          <w:sz w:val="22"/>
          <w:szCs w:val="22"/>
          <w:rtl/>
          <w:lang w:eastAsia="he-IL"/>
        </w:rPr>
        <w:t>.</w:t>
      </w:r>
    </w:p>
    <w:p w14:paraId="3E44241A"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קריאת ארבע פרשיות מוזכרת כבר במשנה (מגילה כט א) ומכאן שהיא מוקדמת לחילוק המנהגים בין בני בבל ובני ארץ ישראל (עיין המועדים בהלכה לגרש"י זוין זצ"ל, פורים, א).</w:t>
      </w:r>
    </w:p>
    <w:p w14:paraId="5729E14B" w14:textId="77777777" w:rsidR="000C754B" w:rsidRPr="000C754B" w:rsidRDefault="000C754B" w:rsidP="000C754B">
      <w:pPr>
        <w:spacing w:line="360" w:lineRule="auto"/>
        <w:jc w:val="both"/>
        <w:rPr>
          <w:rFonts w:ascii="Arial" w:hAnsi="Arial" w:cs="Arial"/>
          <w:sz w:val="22"/>
          <w:szCs w:val="22"/>
          <w:rtl/>
          <w:lang w:eastAsia="he-IL"/>
        </w:rPr>
      </w:pPr>
    </w:p>
    <w:p w14:paraId="7CB4F101"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2. במסכת מגילה (ל ב) מובאת מחלוקת אמוראים "בחמישית חוזרים לסדרן- לסדר מאי? רבי אמי אמר סדר פרשיות הוא חוזר, רבי ירמיה אמר לסדר הפטרות הוא חוזר" ופירש רש"י (ד"ה לסדר פרשיות) "שבשבתות הללו הפסיקו סדר פרשיות דלא קראו אלא ארבע פרשיות הללו" ואילו לדעת רבי ירמיה רק ההפטרה שונה בארבע פרשיות ולא הפרשה כולה וגם בשבת שקוראים בה ארבע פרשיות קוראים את פרשת השבוע כסדר.</w:t>
      </w:r>
    </w:p>
    <w:p w14:paraId="448EAFBF"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להלכה פסק הרמב"ם (הל' תפלה פי"ג הל' כב) כרבי ירמיה וכן נפסק בשו"ע (או"ח סי' תרפה סע' א) "ומוציאין שלשה ספרים, באחת קורא פרשת השבוע ובשני של ראש חודש ובשלישי קורא מפטיר בפרשת שקלים".</w:t>
      </w:r>
    </w:p>
    <w:p w14:paraId="30F8F9F2" w14:textId="77777777" w:rsidR="000C754B" w:rsidRPr="000C754B" w:rsidRDefault="000C754B" w:rsidP="000C754B">
      <w:pPr>
        <w:spacing w:line="360" w:lineRule="auto"/>
        <w:jc w:val="both"/>
        <w:rPr>
          <w:rFonts w:ascii="Arial" w:hAnsi="Arial" w:cs="Arial"/>
          <w:sz w:val="22"/>
          <w:szCs w:val="22"/>
          <w:rtl/>
          <w:lang w:eastAsia="he-IL"/>
        </w:rPr>
      </w:pPr>
    </w:p>
    <w:p w14:paraId="5A997E4C"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3. המאירי במגילה (ל א) ובשבלי הלקט (סי' קצג) כתבו שהעולה שביעי הוא הקורא את הפרשה מארבע הפרשיות ולא שעולה שמיני למפטיר. מאידך לדעת הטור גם בפרשיות אלו נוהגים שהמפטיר אינו ממנין שבעת הקרואים. [בעניין מה שכתבתי שעיקר הדין הוא שהשביעי קורא מפטיר ומנהגנו לא כך עי' שו"ע או"ח סי' רפב סע' ד - ו].</w:t>
      </w:r>
    </w:p>
    <w:p w14:paraId="4D8F0B17" w14:textId="77777777" w:rsidR="000C754B" w:rsidRPr="000C754B" w:rsidRDefault="000C754B" w:rsidP="000C754B">
      <w:pPr>
        <w:spacing w:line="360" w:lineRule="auto"/>
        <w:jc w:val="both"/>
        <w:rPr>
          <w:rFonts w:ascii="Arial" w:hAnsi="Arial" w:cs="Arial"/>
          <w:sz w:val="22"/>
          <w:szCs w:val="22"/>
          <w:rtl/>
          <w:lang w:eastAsia="he-IL"/>
        </w:rPr>
      </w:pPr>
    </w:p>
    <w:p w14:paraId="03A95743"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4. כך מפורש במשנה מסכת שקלים (פרק א משנה א) ובגמרא מגילה (כט ב ועי"ש ברש"י ד"ה בט"ו באדר והלאה) ועי' משנה ברורה (סי' תרפה ס"ק א).</w:t>
      </w:r>
    </w:p>
    <w:p w14:paraId="12855A04" w14:textId="77777777" w:rsidR="000C754B" w:rsidRPr="000C754B" w:rsidRDefault="000C754B" w:rsidP="000C754B">
      <w:pPr>
        <w:spacing w:line="360" w:lineRule="auto"/>
        <w:jc w:val="both"/>
        <w:rPr>
          <w:rFonts w:ascii="Arial" w:hAnsi="Arial" w:cs="Arial"/>
          <w:sz w:val="22"/>
          <w:szCs w:val="22"/>
          <w:rtl/>
          <w:lang w:eastAsia="he-IL"/>
        </w:rPr>
      </w:pPr>
    </w:p>
    <w:p w14:paraId="20DB1988" w14:textId="77777777" w:rsidR="000C754B" w:rsidRPr="000C754B" w:rsidRDefault="000C754B" w:rsidP="000C754B">
      <w:pPr>
        <w:spacing w:line="360" w:lineRule="auto"/>
        <w:jc w:val="both"/>
        <w:rPr>
          <w:rFonts w:ascii="Arial" w:hAnsi="Arial" w:cs="Arial"/>
          <w:sz w:val="22"/>
          <w:szCs w:val="22"/>
          <w:rtl/>
          <w:lang w:eastAsia="he-IL"/>
        </w:rPr>
      </w:pPr>
      <w:r w:rsidRPr="000C754B">
        <w:rPr>
          <w:rFonts w:ascii="Arial" w:hAnsi="Arial" w:cs="Arial" w:hint="cs"/>
          <w:sz w:val="22"/>
          <w:szCs w:val="22"/>
          <w:rtl/>
          <w:lang w:eastAsia="he-IL"/>
        </w:rPr>
        <w:t>5. בטעם הקריאה בימינו שאין בית המקדש קיים, כתב המשנה ברורה (סי' תרפה ס"ק ב) "דאמר</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קרא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זאת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עולת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חודש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בחדשו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לחדשי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השנה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והאי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לחדשי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יתירא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הוא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אלא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אמרה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תורה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יש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לך</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חודש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שאתה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צריך</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לחדשו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בהבאת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עולות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תמידין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ומוספין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מתרומה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חדשה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וזהו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ניסן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דגמרינן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בגמרא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בג</w:t>
      </w:r>
      <w:r w:rsidRPr="000C754B">
        <w:rPr>
          <w:rFonts w:ascii="Arial" w:hAnsi="Arial" w:cs="Arial"/>
          <w:sz w:val="22"/>
          <w:szCs w:val="22"/>
          <w:rtl/>
          <w:lang w:eastAsia="he-IL"/>
        </w:rPr>
        <w:t>"</w:t>
      </w:r>
      <w:r w:rsidRPr="000C754B">
        <w:rPr>
          <w:rFonts w:ascii="Arial" w:hAnsi="Arial" w:cs="Arial" w:hint="cs"/>
          <w:sz w:val="22"/>
          <w:szCs w:val="22"/>
          <w:rtl/>
          <w:lang w:eastAsia="he-IL"/>
        </w:rPr>
        <w:t>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שחודש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זה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הוא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חודש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ניסן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וכיון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דבניסן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בעי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לאקרובי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מתרומה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חדשה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לכך</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מקדמינן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ומשמיעין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על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השקלים</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באדר</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הסמוך</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שיביאו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שקליהם</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בר</w:t>
      </w:r>
      <w:r w:rsidRPr="000C754B">
        <w:rPr>
          <w:rFonts w:ascii="Arial" w:hAnsi="Arial" w:cs="Arial"/>
          <w:sz w:val="22"/>
          <w:szCs w:val="22"/>
          <w:rtl/>
          <w:lang w:eastAsia="he-IL"/>
        </w:rPr>
        <w:t>"</w:t>
      </w:r>
      <w:r w:rsidRPr="000C754B">
        <w:rPr>
          <w:rFonts w:ascii="Arial" w:hAnsi="Arial" w:cs="Arial" w:hint="cs"/>
          <w:sz w:val="22"/>
          <w:szCs w:val="22"/>
          <w:rtl/>
          <w:lang w:eastAsia="he-IL"/>
        </w:rPr>
        <w:t>ח</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ניסן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ואנו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משלמין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פרים</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שפתינו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בקריאת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הפרשה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כי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תשא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דכתיב</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lastRenderedPageBreak/>
        <w:t>בה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ענין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השקלים". כלומר זהו זכר למקדש, שאנו אומרים בפינו את מה שהיינו צריכים לעשות בפועל אם בית המקדש היה קיים.</w:t>
      </w:r>
    </w:p>
    <w:p w14:paraId="106F343A" w14:textId="6F8BAA26" w:rsidR="00095595" w:rsidRPr="000C754B" w:rsidRDefault="000C754B" w:rsidP="000C754B">
      <w:pPr>
        <w:spacing w:line="360" w:lineRule="auto"/>
        <w:jc w:val="both"/>
        <w:rPr>
          <w:rFonts w:ascii="Arial" w:hAnsi="Arial" w:cs="Arial"/>
          <w:sz w:val="22"/>
          <w:szCs w:val="22"/>
          <w:lang w:eastAsia="he-IL"/>
        </w:rPr>
      </w:pPr>
      <w:r w:rsidRPr="000C754B">
        <w:rPr>
          <w:rFonts w:ascii="Arial" w:hAnsi="Arial" w:cs="Arial" w:hint="cs"/>
          <w:sz w:val="22"/>
          <w:szCs w:val="22"/>
          <w:rtl/>
          <w:lang w:eastAsia="he-IL"/>
        </w:rPr>
        <w:t>אכן הדברים מבוארים בספר החינוך (מצוה קה) שכתב "ועכשיו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בעוונותינו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שאין</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לנו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מקדש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ולא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שקלים</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נהגו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כל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ישראל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לזכר</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הדבר</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לקרות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בבית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הכנסת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בכל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שנה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ושנה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פרשה</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זו</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של</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כי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תשא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עד</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ולקחת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את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כסף</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הכפרים</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בשבת</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שהוא</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לפני</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ראש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חדש</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אדר</w:t>
      </w:r>
      <w:r w:rsidRPr="000C754B">
        <w:rPr>
          <w:rFonts w:ascii="Arial" w:hAnsi="Arial" w:cs="Arial"/>
          <w:sz w:val="22"/>
          <w:szCs w:val="22"/>
          <w:rtl/>
          <w:lang w:eastAsia="he-IL"/>
        </w:rPr>
        <w:t xml:space="preserve"> </w:t>
      </w:r>
      <w:r w:rsidRPr="000C754B">
        <w:rPr>
          <w:rFonts w:ascii="Arial" w:hAnsi="Arial" w:cs="Arial" w:hint="cs"/>
          <w:sz w:val="22"/>
          <w:szCs w:val="22"/>
          <w:rtl/>
          <w:lang w:eastAsia="he-IL"/>
        </w:rPr>
        <w:t>לעולם".</w:t>
      </w:r>
      <w:r w:rsidR="003911C5" w:rsidRPr="003911C5">
        <w:rPr>
          <w:rFonts w:ascii="Arial" w:hAnsi="Arial" w:cs="Arial"/>
          <w:color w:val="000000"/>
          <w:sz w:val="21"/>
          <w:szCs w:val="21"/>
        </w:rPr>
        <w:t xml:space="preserve"> </w:t>
      </w:r>
      <w:bookmarkStart w:id="1" w:name="_GoBack"/>
      <w:bookmarkEnd w:id="1"/>
    </w:p>
    <w:sectPr w:rsidR="00095595" w:rsidRPr="000C754B" w:rsidSect="006C1E53">
      <w:headerReference w:type="default" r:id="rId10"/>
      <w:footerReference w:type="default" r:id="rId11"/>
      <w:headerReference w:type="first" r:id="rId12"/>
      <w:footerReference w:type="first" r:id="rId13"/>
      <w:pgSz w:w="11906" w:h="16838"/>
      <w:pgMar w:top="3806" w:right="1800" w:bottom="1701" w:left="1800" w:header="708" w:footer="148" w:gutter="0"/>
      <w:cols w:space="708"/>
      <w:titlePg/>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ינון קליין" w:date="2015-02-06T11:59:00Z" w:initials="יק">
    <w:p w14:paraId="3769138B" w14:textId="77777777" w:rsidR="000C754B" w:rsidRDefault="000C754B" w:rsidP="000C754B">
      <w:pPr>
        <w:pStyle w:val="af4"/>
      </w:pPr>
      <w:r>
        <w:rPr>
          <w:rStyle w:val="af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91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92AD1" w14:textId="77777777" w:rsidR="00AF5BAB" w:rsidRDefault="00AF5BAB">
      <w:r>
        <w:separator/>
      </w:r>
    </w:p>
  </w:endnote>
  <w:endnote w:type="continuationSeparator" w:id="0">
    <w:p w14:paraId="7AB2A9A1" w14:textId="77777777" w:rsidR="00AF5BAB" w:rsidRDefault="00AF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3E23" w14:textId="77777777" w:rsidR="00762AB7" w:rsidRPr="005F1D72" w:rsidRDefault="005E2486" w:rsidP="005F1D72">
    <w:pPr>
      <w:pStyle w:val="a7"/>
      <w:rPr>
        <w:rtl/>
      </w:rPr>
    </w:pPr>
    <w:r>
      <w:rPr>
        <w:noProof/>
      </w:rPr>
      <w:drawing>
        <wp:anchor distT="0" distB="0" distL="114300" distR="114300" simplePos="0" relativeHeight="251655680" behindDoc="0" locked="0" layoutInCell="1" allowOverlap="1" wp14:anchorId="183DDC17" wp14:editId="183113C8">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2270" w14:textId="77777777" w:rsidR="00762AB7" w:rsidRDefault="005E2486">
    <w:pPr>
      <w:pStyle w:val="a7"/>
    </w:pPr>
    <w:r>
      <w:rPr>
        <w:noProof/>
      </w:rPr>
      <w:drawing>
        <wp:anchor distT="0" distB="0" distL="114300" distR="114300" simplePos="0" relativeHeight="251659776" behindDoc="0" locked="0" layoutInCell="1" allowOverlap="1" wp14:anchorId="5A0AAEC3" wp14:editId="66DF5A0F">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10AF" w14:textId="77777777" w:rsidR="00AF5BAB" w:rsidRDefault="00AF5BAB">
      <w:r>
        <w:separator/>
      </w:r>
    </w:p>
  </w:footnote>
  <w:footnote w:type="continuationSeparator" w:id="0">
    <w:p w14:paraId="7AC81BDD" w14:textId="77777777" w:rsidR="00AF5BAB" w:rsidRDefault="00AF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79874" w14:textId="77777777" w:rsidR="00762AB7" w:rsidRDefault="005E2486">
    <w:r>
      <w:rPr>
        <w:rFonts w:hint="cs"/>
        <w:noProof/>
      </w:rPr>
      <w:drawing>
        <wp:anchor distT="0" distB="0" distL="114300" distR="114300" simplePos="0" relativeHeight="251662848" behindDoc="0" locked="0" layoutInCell="1" allowOverlap="1" wp14:anchorId="3CAB3D1F" wp14:editId="10549752">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4A44" w14:textId="77777777" w:rsidR="00762AB7" w:rsidRPr="006F06A3" w:rsidRDefault="005E2486"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14:anchorId="2DD0A6B1" wp14:editId="38978F45">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F7C8" w14:textId="77777777"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9F3903">
      <w:rPr>
        <w:rFonts w:ascii="Arial" w:hAnsi="Arial" w:cs="Arial"/>
        <w:b w:val="0"/>
        <w:bCs w:val="0"/>
        <w:noProof/>
        <w:sz w:val="20"/>
        <w:szCs w:val="20"/>
        <w:rtl/>
        <w:lang w:eastAsia="he-IL"/>
      </w:rPr>
      <w:t>‏כ"ה שבט תשע"ה</w:t>
    </w:r>
    <w:r w:rsidRPr="006F06A3">
      <w:rPr>
        <w:rFonts w:ascii="Arial" w:hAnsi="Arial" w:cs="Arial"/>
        <w:b w:val="0"/>
        <w:bCs w:val="0"/>
        <w:sz w:val="20"/>
        <w:szCs w:val="20"/>
        <w:rtl/>
        <w:lang w:eastAsia="he-IL"/>
      </w:rPr>
      <w:fldChar w:fldCharType="end"/>
    </w:r>
  </w:p>
  <w:p w14:paraId="56158ED8" w14:textId="77777777"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14:paraId="1415D07C" w14:textId="77777777"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14:paraId="23EBDA9F" w14:textId="77777777" w:rsidR="00762AB7" w:rsidRPr="008F29B5" w:rsidRDefault="00762AB7" w:rsidP="009E14F5">
    <w:pPr>
      <w:spacing w:line="360" w:lineRule="auto"/>
      <w:ind w:left="-1050" w:right="-1134"/>
      <w:rPr>
        <w:rFonts w:cs="Narkisim"/>
        <w:sz w:val="11"/>
        <w:szCs w:val="11"/>
        <w:rtl/>
      </w:rPr>
    </w:pPr>
  </w:p>
  <w:p w14:paraId="2A2EDABB" w14:textId="77777777" w:rsidR="00762AB7" w:rsidRPr="00EB0C2B" w:rsidRDefault="00762AB7" w:rsidP="009E14F5">
    <w:pPr>
      <w:pStyle w:val="1"/>
      <w:spacing w:before="0" w:beforeAutospacing="0" w:after="0"/>
      <w:rPr>
        <w:rFonts w:cs="Monotype Hadassah"/>
        <w:sz w:val="2"/>
        <w:szCs w:val="2"/>
        <w:rtl/>
        <w:lang w:eastAsia="he-IL"/>
      </w:rPr>
    </w:pPr>
  </w:p>
  <w:p w14:paraId="628A1106" w14:textId="77777777" w:rsidR="00762AB7" w:rsidRPr="00D86CFB" w:rsidRDefault="005E2486" w:rsidP="000C754B">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14:anchorId="29602209" wp14:editId="6806702F">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061C7" w14:textId="77777777"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602209"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14:paraId="44C061C7" w14:textId="77777777" w:rsidR="00762AB7" w:rsidRPr="00EE55E4" w:rsidRDefault="00762AB7" w:rsidP="009E14F5"/>
                </w:txbxContent>
              </v:textbox>
            </v:shape>
          </w:pict>
        </mc:Fallback>
      </mc:AlternateContent>
    </w:r>
    <w:r w:rsidR="000C754B">
      <w:rPr>
        <w:rFonts w:cs="Monotype Hadassah" w:hint="cs"/>
        <w:sz w:val="26"/>
        <w:szCs w:val="25"/>
        <w:rtl/>
        <w:lang w:eastAsia="he-IL"/>
      </w:rPr>
      <w:t>קריאת ארבע פרשיות. פרשת שקלים</w:t>
    </w:r>
  </w:p>
  <w:p w14:paraId="65BBEBE5" w14:textId="77777777"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ינון קליין">
    <w15:presenceInfo w15:providerId="Windows Live" w15:userId="ffda0a229aaef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C754B"/>
    <w:rsid w:val="000E1469"/>
    <w:rsid w:val="000E7864"/>
    <w:rsid w:val="000F2252"/>
    <w:rsid w:val="000F7E75"/>
    <w:rsid w:val="0011313E"/>
    <w:rsid w:val="0012693D"/>
    <w:rsid w:val="0014108E"/>
    <w:rsid w:val="00143EB1"/>
    <w:rsid w:val="00146E88"/>
    <w:rsid w:val="00174206"/>
    <w:rsid w:val="001823DF"/>
    <w:rsid w:val="001B1004"/>
    <w:rsid w:val="001C0287"/>
    <w:rsid w:val="001E3863"/>
    <w:rsid w:val="001E4C57"/>
    <w:rsid w:val="001F4A42"/>
    <w:rsid w:val="00200D71"/>
    <w:rsid w:val="00217338"/>
    <w:rsid w:val="0022336A"/>
    <w:rsid w:val="002312DC"/>
    <w:rsid w:val="00274545"/>
    <w:rsid w:val="00286D3F"/>
    <w:rsid w:val="002C28AF"/>
    <w:rsid w:val="002F47C8"/>
    <w:rsid w:val="00385009"/>
    <w:rsid w:val="003911C5"/>
    <w:rsid w:val="00396AF3"/>
    <w:rsid w:val="0039767A"/>
    <w:rsid w:val="003A016A"/>
    <w:rsid w:val="003A1487"/>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F06A3"/>
    <w:rsid w:val="006F2DA4"/>
    <w:rsid w:val="00707E6A"/>
    <w:rsid w:val="00722476"/>
    <w:rsid w:val="00762AB7"/>
    <w:rsid w:val="00773B66"/>
    <w:rsid w:val="00774D4A"/>
    <w:rsid w:val="00792F6A"/>
    <w:rsid w:val="007A16C4"/>
    <w:rsid w:val="007A45C4"/>
    <w:rsid w:val="007C16E0"/>
    <w:rsid w:val="008026B8"/>
    <w:rsid w:val="008101F1"/>
    <w:rsid w:val="00830240"/>
    <w:rsid w:val="008371ED"/>
    <w:rsid w:val="0086067F"/>
    <w:rsid w:val="00864BD5"/>
    <w:rsid w:val="00866118"/>
    <w:rsid w:val="008C3217"/>
    <w:rsid w:val="008E471F"/>
    <w:rsid w:val="008E5B9A"/>
    <w:rsid w:val="008F0318"/>
    <w:rsid w:val="008F29B5"/>
    <w:rsid w:val="00900933"/>
    <w:rsid w:val="00911F26"/>
    <w:rsid w:val="009168A2"/>
    <w:rsid w:val="00916A42"/>
    <w:rsid w:val="00940FB7"/>
    <w:rsid w:val="0095228A"/>
    <w:rsid w:val="009621F7"/>
    <w:rsid w:val="00974040"/>
    <w:rsid w:val="00983619"/>
    <w:rsid w:val="009B7A97"/>
    <w:rsid w:val="009E14F5"/>
    <w:rsid w:val="009E3AD5"/>
    <w:rsid w:val="009F3903"/>
    <w:rsid w:val="00A610AD"/>
    <w:rsid w:val="00A7601D"/>
    <w:rsid w:val="00A92A00"/>
    <w:rsid w:val="00AC3E47"/>
    <w:rsid w:val="00AE210D"/>
    <w:rsid w:val="00AF05D7"/>
    <w:rsid w:val="00AF5BAB"/>
    <w:rsid w:val="00AF7D3B"/>
    <w:rsid w:val="00B02186"/>
    <w:rsid w:val="00B108F8"/>
    <w:rsid w:val="00B16DD7"/>
    <w:rsid w:val="00B22EEE"/>
    <w:rsid w:val="00B50772"/>
    <w:rsid w:val="00B75071"/>
    <w:rsid w:val="00B825CD"/>
    <w:rsid w:val="00B855BA"/>
    <w:rsid w:val="00BD2B0F"/>
    <w:rsid w:val="00BD362B"/>
    <w:rsid w:val="00BF0418"/>
    <w:rsid w:val="00BF2906"/>
    <w:rsid w:val="00C2670C"/>
    <w:rsid w:val="00C568B1"/>
    <w:rsid w:val="00C63B07"/>
    <w:rsid w:val="00C85664"/>
    <w:rsid w:val="00C959C6"/>
    <w:rsid w:val="00CB73AF"/>
    <w:rsid w:val="00D06790"/>
    <w:rsid w:val="00D16B8C"/>
    <w:rsid w:val="00D20143"/>
    <w:rsid w:val="00D2363D"/>
    <w:rsid w:val="00D35416"/>
    <w:rsid w:val="00D86CFB"/>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225C"/>
  <w15:docId w15:val="{B50A4E3C-902E-4AF5-8605-375AA619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uiPriority w:val="99"/>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uiPriority w:val="99"/>
    <w:rsid w:val="00D35416"/>
    <w:rPr>
      <w:rFonts w:ascii="Times New Roman" w:eastAsia="Times New Roman" w:hAnsi="Times New Roman" w:cs="Narkisim"/>
    </w:rPr>
  </w:style>
  <w:style w:type="character" w:styleId="ab">
    <w:name w:val="footnote reference"/>
    <w:uiPriority w:val="99"/>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81AD6-AFF2-4BFF-AC3E-BAA23C6E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2789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Moshe</dc:creator>
  <cp:keywords/>
  <dc:description/>
  <cp:lastModifiedBy>ינון קליין</cp:lastModifiedBy>
  <cp:revision>1</cp:revision>
  <cp:lastPrinted>2013-10-16T14:14:00Z</cp:lastPrinted>
  <dcterms:created xsi:type="dcterms:W3CDTF">2015-02-07T20:48:00Z</dcterms:created>
  <dcterms:modified xsi:type="dcterms:W3CDTF">2015-02-14T18:12:00Z</dcterms:modified>
</cp:coreProperties>
</file>